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6F" w:rsidRPr="008924FE" w:rsidRDefault="00357E6F" w:rsidP="008924FE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924FE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357E6F" w:rsidRDefault="00357E6F" w:rsidP="008924FE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924FE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рішення Млинівської</w:t>
      </w:r>
    </w:p>
    <w:p w:rsidR="00357E6F" w:rsidRDefault="00357E6F" w:rsidP="008924FE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селищної ради</w:t>
      </w:r>
    </w:p>
    <w:p w:rsidR="00357E6F" w:rsidRPr="008924FE" w:rsidRDefault="009D7210" w:rsidP="008924FE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 жовтня 2021р. № 1293</w:t>
      </w:r>
    </w:p>
    <w:p w:rsidR="00357E6F" w:rsidRDefault="00357E6F" w:rsidP="008924FE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7E6F" w:rsidRDefault="00357E6F" w:rsidP="008924FE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7E6F" w:rsidRDefault="00357E6F" w:rsidP="008924FE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СХВАЛЕНО</w:t>
      </w:r>
      <w:r w:rsidRPr="00CF4F5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</w:p>
    <w:p w:rsidR="00357E6F" w:rsidRDefault="00357E6F" w:rsidP="008924FE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Млинівської селищної ради</w:t>
      </w:r>
    </w:p>
    <w:p w:rsidR="00357E6F" w:rsidRPr="00CF4F57" w:rsidRDefault="00357E6F" w:rsidP="008924FE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31.08.2021 № 162</w:t>
      </w:r>
    </w:p>
    <w:p w:rsidR="00357E6F" w:rsidRPr="003E39E7" w:rsidRDefault="00357E6F" w:rsidP="00AF3A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7E6F" w:rsidRPr="00CF4F57" w:rsidRDefault="00357E6F" w:rsidP="004E437D">
      <w:pPr>
        <w:tabs>
          <w:tab w:val="left" w:pos="32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4F57">
        <w:rPr>
          <w:rFonts w:ascii="Times New Roman" w:hAnsi="Times New Roman"/>
          <w:b/>
          <w:sz w:val="28"/>
          <w:szCs w:val="28"/>
          <w:lang w:val="uk-UA"/>
        </w:rPr>
        <w:t>ПРОГНОЗ</w:t>
      </w:r>
    </w:p>
    <w:p w:rsidR="00357E6F" w:rsidRPr="00CF4F57" w:rsidRDefault="00357E6F" w:rsidP="004E437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4F57">
        <w:rPr>
          <w:rFonts w:ascii="Times New Roman" w:hAnsi="Times New Roman"/>
          <w:b/>
          <w:sz w:val="28"/>
          <w:szCs w:val="28"/>
          <w:lang w:val="uk-UA"/>
        </w:rPr>
        <w:t>бюджету Млинівської селищної територіальної громади</w:t>
      </w:r>
    </w:p>
    <w:p w:rsidR="00357E6F" w:rsidRPr="00F11192" w:rsidRDefault="00357E6F" w:rsidP="004E437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2022-2024 роки</w:t>
      </w:r>
    </w:p>
    <w:p w:rsidR="00357E6F" w:rsidRPr="00F11192" w:rsidRDefault="00357E6F" w:rsidP="004E437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1192">
        <w:rPr>
          <w:rFonts w:ascii="Times New Roman" w:hAnsi="Times New Roman"/>
          <w:b/>
          <w:sz w:val="28"/>
          <w:szCs w:val="28"/>
          <w:lang w:val="uk-UA"/>
        </w:rPr>
        <w:t>код бюджету   17515000000</w:t>
      </w:r>
    </w:p>
    <w:p w:rsidR="00357E6F" w:rsidRPr="00AF3AE9" w:rsidRDefault="00357E6F" w:rsidP="004E437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3AE9">
        <w:rPr>
          <w:rFonts w:ascii="Times New Roman" w:hAnsi="Times New Roman"/>
          <w:b/>
          <w:sz w:val="28"/>
          <w:szCs w:val="28"/>
          <w:lang w:val="uk-UA"/>
        </w:rPr>
        <w:t>1.  Загальна частина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2327C">
        <w:rPr>
          <w:rFonts w:ascii="Times New Roman" w:hAnsi="Times New Roman"/>
          <w:sz w:val="28"/>
          <w:szCs w:val="28"/>
          <w:lang w:val="uk-UA"/>
        </w:rPr>
        <w:t>Прогн</w:t>
      </w:r>
      <w:r>
        <w:rPr>
          <w:rFonts w:ascii="Times New Roman" w:hAnsi="Times New Roman"/>
          <w:sz w:val="28"/>
          <w:szCs w:val="28"/>
          <w:lang w:val="uk-UA"/>
        </w:rPr>
        <w:t>оз бюджету Млинівської селищної</w:t>
      </w:r>
      <w:r w:rsidRPr="0052327C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2022-2024 роки (далі – Прогноз) розроблено відповідно до статті 75¹ Бюджетного кодексу України, діючого Податкового та Бюджетного кодексів України та інших законодавчих актів, що стосуються місцевих бюджетів та міжбюд</w:t>
      </w:r>
      <w:r>
        <w:rPr>
          <w:rFonts w:ascii="Times New Roman" w:hAnsi="Times New Roman"/>
          <w:sz w:val="28"/>
          <w:szCs w:val="28"/>
          <w:lang w:val="uk-UA"/>
        </w:rPr>
        <w:t xml:space="preserve">жетних відносин.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Показники </w:t>
      </w:r>
      <w:r w:rsidRPr="00AF3AE9">
        <w:rPr>
          <w:rFonts w:ascii="Times New Roman" w:hAnsi="Times New Roman"/>
          <w:sz w:val="28"/>
          <w:szCs w:val="28"/>
          <w:lang w:val="uk-UA"/>
        </w:rPr>
        <w:t xml:space="preserve">Прогнозу сформовано на підставі положень Бюджетної декларації на 2022-2024 роки, основних прогнозних </w:t>
      </w:r>
      <w:proofErr w:type="spellStart"/>
      <w:r w:rsidRPr="00AF3AE9">
        <w:rPr>
          <w:rFonts w:ascii="Times New Roman" w:hAnsi="Times New Roman"/>
          <w:sz w:val="28"/>
          <w:szCs w:val="28"/>
          <w:lang w:val="uk-UA"/>
        </w:rPr>
        <w:t>макропоказників</w:t>
      </w:r>
      <w:proofErr w:type="spellEnd"/>
      <w:r w:rsidRPr="00AF3AE9">
        <w:rPr>
          <w:rFonts w:ascii="Times New Roman" w:hAnsi="Times New Roman"/>
          <w:sz w:val="28"/>
          <w:szCs w:val="28"/>
          <w:lang w:val="uk-UA"/>
        </w:rPr>
        <w:t xml:space="preserve"> економічного і соціального розвитку України, схваленої постановою Кабінету Міністрів України від 31 травня 2021 року № 548, а також на основі комплексного аналізу економічної ситуації, стану фінансового потенціалу, оцінки досягнутого рівня розвитку економіки і соціальної сфери Млинівської селищної територіальної громади.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F3AE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гноз враховує положення Плану</w:t>
      </w:r>
      <w:r w:rsidRPr="00AF3AE9">
        <w:rPr>
          <w:rFonts w:ascii="Times New Roman" w:hAnsi="Times New Roman"/>
          <w:sz w:val="28"/>
          <w:szCs w:val="28"/>
          <w:lang w:val="uk-UA"/>
        </w:rPr>
        <w:t xml:space="preserve"> економічного і соціального розвитку </w:t>
      </w:r>
      <w:r w:rsidRPr="00407A30">
        <w:rPr>
          <w:rFonts w:ascii="Times New Roman" w:hAnsi="Times New Roman"/>
          <w:sz w:val="28"/>
          <w:szCs w:val="28"/>
          <w:lang w:val="uk-UA"/>
        </w:rPr>
        <w:t>Млинівської селищної територіальної громади</w:t>
      </w:r>
      <w:r w:rsidRPr="00AF3AE9">
        <w:rPr>
          <w:rFonts w:ascii="Times New Roman" w:hAnsi="Times New Roman"/>
          <w:sz w:val="28"/>
          <w:szCs w:val="28"/>
          <w:lang w:val="uk-UA"/>
        </w:rPr>
        <w:t xml:space="preserve"> на 2021 р</w:t>
      </w:r>
      <w:r>
        <w:rPr>
          <w:rFonts w:ascii="Times New Roman" w:hAnsi="Times New Roman"/>
          <w:sz w:val="28"/>
          <w:szCs w:val="28"/>
          <w:lang w:val="uk-UA"/>
        </w:rPr>
        <w:t>ік та основних напрямів Стратегічного плану розвитку Млинівської громади до 2025 року затвердженого</w:t>
      </w:r>
      <w:r w:rsidRPr="00AF3AE9">
        <w:rPr>
          <w:rFonts w:ascii="Times New Roman" w:hAnsi="Times New Roman"/>
          <w:sz w:val="28"/>
          <w:szCs w:val="28"/>
          <w:lang w:val="uk-UA"/>
        </w:rPr>
        <w:t xml:space="preserve"> рішенням </w:t>
      </w:r>
      <w:r>
        <w:rPr>
          <w:rFonts w:ascii="Times New Roman" w:hAnsi="Times New Roman"/>
          <w:sz w:val="28"/>
          <w:szCs w:val="28"/>
          <w:lang w:val="uk-UA"/>
        </w:rPr>
        <w:t>Млинівської селищної  ради від 21</w:t>
      </w:r>
      <w:r w:rsidRPr="00AF3AE9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>
        <w:rPr>
          <w:rFonts w:ascii="Times New Roman" w:hAnsi="Times New Roman"/>
          <w:sz w:val="28"/>
          <w:szCs w:val="28"/>
          <w:lang w:val="uk-UA"/>
        </w:rPr>
        <w:t>2019</w:t>
      </w:r>
      <w:r w:rsidRPr="00AF3AE9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2666</w:t>
      </w:r>
      <w:r w:rsidRPr="00AF3AE9">
        <w:rPr>
          <w:rFonts w:ascii="Times New Roman" w:hAnsi="Times New Roman"/>
          <w:sz w:val="28"/>
          <w:szCs w:val="28"/>
          <w:lang w:val="uk-UA"/>
        </w:rPr>
        <w:t xml:space="preserve">, і місцевих галузевих програм на відповідний період, затверджених селищною радою.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9C285D">
        <w:rPr>
          <w:rFonts w:ascii="Times New Roman" w:hAnsi="Times New Roman"/>
          <w:sz w:val="28"/>
          <w:szCs w:val="28"/>
        </w:rPr>
        <w:t xml:space="preserve">Прогноз </w:t>
      </w:r>
      <w:proofErr w:type="spellStart"/>
      <w:r w:rsidRPr="009C285D">
        <w:rPr>
          <w:rFonts w:ascii="Times New Roman" w:hAnsi="Times New Roman"/>
          <w:sz w:val="28"/>
          <w:szCs w:val="28"/>
        </w:rPr>
        <w:t>є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стратегічним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документом </w:t>
      </w:r>
      <w:proofErr w:type="spellStart"/>
      <w:r w:rsidRPr="009C285D">
        <w:rPr>
          <w:rFonts w:ascii="Times New Roman" w:hAnsi="Times New Roman"/>
          <w:sz w:val="28"/>
          <w:szCs w:val="28"/>
        </w:rPr>
        <w:t>плану</w:t>
      </w:r>
      <w:r>
        <w:rPr>
          <w:rFonts w:ascii="Times New Roman" w:hAnsi="Times New Roman"/>
          <w:sz w:val="28"/>
          <w:szCs w:val="28"/>
        </w:rPr>
        <w:t>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C285D">
        <w:rPr>
          <w:rFonts w:ascii="Times New Roman" w:hAnsi="Times New Roman"/>
          <w:sz w:val="28"/>
          <w:szCs w:val="28"/>
        </w:rPr>
        <w:t>середньостроковий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період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основою для </w:t>
      </w:r>
      <w:proofErr w:type="spellStart"/>
      <w:r w:rsidRPr="009C285D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бюджету на 2022 </w:t>
      </w:r>
      <w:proofErr w:type="spellStart"/>
      <w:proofErr w:type="gramStart"/>
      <w:r w:rsidRPr="009C285D">
        <w:rPr>
          <w:rFonts w:ascii="Times New Roman" w:hAnsi="Times New Roman"/>
          <w:sz w:val="28"/>
          <w:szCs w:val="28"/>
        </w:rPr>
        <w:t>р</w:t>
      </w:r>
      <w:proofErr w:type="gramEnd"/>
      <w:r w:rsidRPr="009C285D">
        <w:rPr>
          <w:rFonts w:ascii="Times New Roman" w:hAnsi="Times New Roman"/>
          <w:sz w:val="28"/>
          <w:szCs w:val="28"/>
        </w:rPr>
        <w:t>ік</w:t>
      </w:r>
      <w:proofErr w:type="spellEnd"/>
      <w:r w:rsidRPr="009C28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9C2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AF3AE9">
        <w:rPr>
          <w:rFonts w:ascii="Times New Roman" w:hAnsi="Times New Roman"/>
          <w:sz w:val="28"/>
          <w:szCs w:val="28"/>
          <w:lang w:val="uk-UA"/>
        </w:rPr>
        <w:t xml:space="preserve">Мета Прогнозу полягає у формуванні послідовної та передбачуваної бюджетної політики на рівні громади шляхом створення дієвого механізму управління бюджетним процесом, встановлення зв’язку між стратегічними </w:t>
      </w:r>
      <w:r w:rsidRPr="00AF3AE9">
        <w:rPr>
          <w:rFonts w:ascii="Times New Roman" w:hAnsi="Times New Roman"/>
          <w:sz w:val="28"/>
          <w:szCs w:val="28"/>
          <w:lang w:val="uk-UA"/>
        </w:rPr>
        <w:lastRenderedPageBreak/>
        <w:t xml:space="preserve">цілями та можливостями бюджету в середньостроковій перспективі. </w:t>
      </w:r>
      <w:r w:rsidRPr="00F601DE">
        <w:rPr>
          <w:rFonts w:ascii="Times New Roman" w:hAnsi="Times New Roman"/>
          <w:sz w:val="28"/>
          <w:szCs w:val="28"/>
          <w:lang w:val="uk-UA"/>
        </w:rPr>
        <w:t>Для досягнення мети Прогнозу планується забезпечити виконання наступних завдань: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F601DE">
        <w:rPr>
          <w:rFonts w:ascii="Times New Roman" w:hAnsi="Times New Roman"/>
          <w:sz w:val="28"/>
          <w:szCs w:val="28"/>
          <w:lang w:val="uk-UA"/>
        </w:rPr>
        <w:t xml:space="preserve">підвищення рівня доступності та якості публічних послуг;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F601DE">
        <w:rPr>
          <w:rFonts w:ascii="Times New Roman" w:hAnsi="Times New Roman"/>
          <w:sz w:val="28"/>
          <w:szCs w:val="28"/>
          <w:lang w:val="uk-UA"/>
        </w:rPr>
        <w:t xml:space="preserve">забезпечення комфортності проживання мешканців громади;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F601DE">
        <w:rPr>
          <w:rFonts w:ascii="Times New Roman" w:hAnsi="Times New Roman"/>
          <w:sz w:val="28"/>
          <w:szCs w:val="28"/>
          <w:lang w:val="uk-UA"/>
        </w:rPr>
        <w:t xml:space="preserve">прогнозування обсягів видатків, пов’язаних із продовженням вже існуючих бюджетних програм, та визначення наявності фінансового ресурсу для планування нових бюджетних програм;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</w:t>
      </w:r>
      <w:r w:rsidRPr="00F601DE">
        <w:rPr>
          <w:rFonts w:ascii="Times New Roman" w:hAnsi="Times New Roman"/>
          <w:sz w:val="28"/>
          <w:szCs w:val="28"/>
          <w:lang w:val="uk-UA"/>
        </w:rPr>
        <w:t xml:space="preserve">забезпечення фінансування інвестиційних </w:t>
      </w:r>
      <w:proofErr w:type="spellStart"/>
      <w:r w:rsidRPr="00F601DE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F601DE">
        <w:rPr>
          <w:rFonts w:ascii="Times New Roman" w:hAnsi="Times New Roman"/>
          <w:sz w:val="28"/>
          <w:szCs w:val="28"/>
          <w:lang w:val="uk-UA"/>
        </w:rPr>
        <w:t xml:space="preserve">, що мають термін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реалізації більше одного року;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F601DE">
        <w:rPr>
          <w:rFonts w:ascii="Times New Roman" w:hAnsi="Times New Roman"/>
          <w:sz w:val="28"/>
          <w:szCs w:val="28"/>
          <w:lang w:val="uk-UA"/>
        </w:rPr>
        <w:t xml:space="preserve">підвищення результативності та ефективності видатків бюджету;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F601DE">
        <w:rPr>
          <w:rFonts w:ascii="Times New Roman" w:hAnsi="Times New Roman"/>
          <w:sz w:val="28"/>
          <w:szCs w:val="28"/>
          <w:lang w:val="uk-UA"/>
        </w:rPr>
        <w:t>підвищення прозорості бюджетного процесу;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Pr="00F601DE">
        <w:rPr>
          <w:rFonts w:ascii="Times New Roman" w:hAnsi="Times New Roman"/>
          <w:sz w:val="28"/>
          <w:szCs w:val="28"/>
          <w:lang w:val="uk-UA"/>
        </w:rPr>
        <w:t xml:space="preserve"> посилення бюджетної дисципліни та контролю за використанням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601DE">
        <w:rPr>
          <w:rFonts w:ascii="Times New Roman" w:hAnsi="Times New Roman"/>
          <w:sz w:val="28"/>
          <w:szCs w:val="28"/>
          <w:lang w:val="uk-UA"/>
        </w:rPr>
        <w:t>бюджетних коштів;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</w:t>
      </w:r>
      <w:r w:rsidRPr="00F601DE">
        <w:rPr>
          <w:rFonts w:ascii="Times New Roman" w:hAnsi="Times New Roman"/>
          <w:sz w:val="28"/>
          <w:szCs w:val="28"/>
          <w:lang w:val="uk-UA"/>
        </w:rPr>
        <w:t xml:space="preserve">підвищення рівня відповідальності учасників бюджетного процесу.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601DE">
        <w:rPr>
          <w:rFonts w:ascii="Times New Roman" w:hAnsi="Times New Roman"/>
          <w:sz w:val="28"/>
          <w:szCs w:val="28"/>
          <w:lang w:val="uk-UA"/>
        </w:rPr>
        <w:t>Прогноз містить цілі державної політики у відповідній сфері діяльності, формування та/або реалізацію якої забезпечує головний розпорядник коштів бюджету селищної територіальної громади, та показники їх досягнення на 2022 – 2024 роки у межах визначених граничних показників видатків та надання кредитів.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601DE">
        <w:rPr>
          <w:rFonts w:ascii="Times New Roman" w:hAnsi="Times New Roman"/>
          <w:sz w:val="28"/>
          <w:szCs w:val="28"/>
          <w:lang w:val="uk-UA"/>
        </w:rPr>
        <w:t xml:space="preserve"> Виконання прогнозних показників бюджету в середньостроковому періоді дозволить: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</w:t>
      </w:r>
      <w:r w:rsidRPr="00F601DE">
        <w:rPr>
          <w:rFonts w:ascii="Times New Roman" w:hAnsi="Times New Roman"/>
          <w:sz w:val="28"/>
          <w:szCs w:val="28"/>
          <w:lang w:val="uk-UA"/>
        </w:rPr>
        <w:t xml:space="preserve"> реалізувати цілі державної політики та місцевого розвитку, включаючи покращення якості надання публічних послуг та комфортності проживання жителів громади;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</w:t>
      </w:r>
      <w:r w:rsidRPr="00F601DE">
        <w:rPr>
          <w:rFonts w:ascii="Times New Roman" w:hAnsi="Times New Roman"/>
          <w:sz w:val="28"/>
          <w:szCs w:val="28"/>
          <w:lang w:val="uk-UA"/>
        </w:rPr>
        <w:t xml:space="preserve"> забезпечити передбачуваність та послідовність бюджетної політики;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впровадити соціальні стандарти.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601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8BC">
        <w:rPr>
          <w:rFonts w:ascii="Times New Roman" w:hAnsi="Times New Roman"/>
          <w:sz w:val="28"/>
          <w:szCs w:val="28"/>
          <w:lang w:val="uk-UA"/>
        </w:rPr>
        <w:t>Можливими ризиками невиконання прогнозних показників можуть бути зростання тарифів на оплату комунальних послуг та енергоносіїв на 5 % і більше у порівнянні з показниками, врахованими у Прогнозі, невиконання прогнозних показників доходів бюджету на 5 % і вище, підвищення рівня інфляції. Заходами з мінімізації впливу фіскальних ризиків на показники бюджету є здійснення заходів з енергозбереження, покращення адміністрування податків і зборів, зниження частки тіньової економіки, залучення грантів (кредитів) Міжнародних фінансових організацій, підвищення інвестиційної привабливості громади.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38BC">
        <w:rPr>
          <w:rFonts w:ascii="Times New Roman" w:hAnsi="Times New Roman"/>
          <w:b/>
          <w:sz w:val="28"/>
          <w:szCs w:val="28"/>
          <w:lang w:val="uk-UA"/>
        </w:rPr>
        <w:t xml:space="preserve">            ІІ. Основні прогнозні показники економічного та соціального</w:t>
      </w:r>
      <w:r w:rsidRPr="005E3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38BC">
        <w:rPr>
          <w:rFonts w:ascii="Times New Roman" w:hAnsi="Times New Roman"/>
          <w:b/>
          <w:sz w:val="28"/>
          <w:szCs w:val="28"/>
          <w:lang w:val="uk-UA"/>
        </w:rPr>
        <w:t xml:space="preserve">розвитку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Географічне положення громади та природні умови, а саме клімат,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наявні земельні і водні ресурси є надзвичайно сприятливими для розвитку аграрно-промислового комплексу.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Основними бюджетоутворюючими підприємствами 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агроформування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які здійснюють свою діяльність на території громади, та сплачують податки до бюджету громади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Промисловий сектор громади нараховує дев’ять приватних підприємств.</w:t>
      </w:r>
    </w:p>
    <w:p w:rsidR="00357E6F" w:rsidRDefault="00357E6F" w:rsidP="009110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даних промислових підприємств, проведено аналіз виробництва продукції в натуральному виразі. Нарощено виробництво виробів з пластмас, субпродуктів харчових ВРХ та свиней, кормів готових для сільськогосподарських тварин та свійської птиці, м’яса свиней, будівельної цегли.</w:t>
      </w:r>
    </w:p>
    <w:p w:rsidR="00357E6F" w:rsidRDefault="00357E6F" w:rsidP="009110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Аграрний сектор економіки громади представлений 50-ма господарствами, в тому числі, 12 сільськогосподарських підприємств, 6 сільськогосподарських кооперативів та 32 фермерських господарства.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З метою визначення найбільш об’єктивних пріоритетів діяльності Млинівської селищної територіальної громади на 2022-2024 роки проведений моніторинг наявних власних ресурсів, стану демографічної ситуації, стану розвитку інфраструктури та економіки на території громади. Визначено сильні та слабкі сторони, можливості та загрози розвитку територіальної громади.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Проведення аналізу дозволило сформулювати комплексну систему цілей, завдань, основних заходів соціального та економічного розвитку Млинівської селищної територіальної громади на 2022-2024 роки, які базуються на розумінні поточної соціально-економічної ситуації, що склалася на території громади, з урахуванням проблем та першочергових потреб населення, фінансових та організаційних ресурсів територіальної громади, відповідно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пріорітетних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напрямків розвитку населених пунктів.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7E6F" w:rsidRPr="00CD32A4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CD32A4">
        <w:rPr>
          <w:rFonts w:ascii="Times New Roman" w:hAnsi="Times New Roman"/>
          <w:b/>
          <w:sz w:val="28"/>
          <w:szCs w:val="28"/>
          <w:lang w:val="uk-UA"/>
        </w:rPr>
        <w:t>ІІІ. Загальні показники бюджету</w:t>
      </w:r>
      <w:r w:rsidRPr="001C71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57E6F" w:rsidRPr="001C71D6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71D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1C71D6">
        <w:rPr>
          <w:rFonts w:ascii="Times New Roman" w:hAnsi="Times New Roman"/>
          <w:sz w:val="28"/>
          <w:szCs w:val="28"/>
          <w:lang w:val="uk-UA"/>
        </w:rPr>
        <w:t xml:space="preserve"> Прогноз бюджету на 2022-2024 роки включає прогнозні показники бюджету громади за основними видами доходів, фінансування, видатків і кредитування, а також прогнозні показники за бюджетним</w:t>
      </w:r>
      <w:r>
        <w:rPr>
          <w:rFonts w:ascii="Times New Roman" w:hAnsi="Times New Roman"/>
          <w:sz w:val="28"/>
          <w:szCs w:val="28"/>
          <w:lang w:val="uk-UA"/>
        </w:rPr>
        <w:t>и програмами.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C71D6">
        <w:rPr>
          <w:rFonts w:ascii="Times New Roman" w:hAnsi="Times New Roman"/>
          <w:sz w:val="28"/>
          <w:szCs w:val="28"/>
          <w:lang w:val="uk-UA"/>
        </w:rPr>
        <w:t xml:space="preserve"> Зазначені показники є основою для складання головними розпорядниками бюджетних коштів планів своєї діяльності,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місцевих програм та формування </w:t>
      </w:r>
      <w:r w:rsidRPr="001C71D6">
        <w:rPr>
          <w:rFonts w:ascii="Times New Roman" w:hAnsi="Times New Roman"/>
          <w:sz w:val="28"/>
          <w:szCs w:val="28"/>
          <w:lang w:val="uk-UA"/>
        </w:rPr>
        <w:t xml:space="preserve"> пок</w:t>
      </w:r>
      <w:r>
        <w:rPr>
          <w:rFonts w:ascii="Times New Roman" w:hAnsi="Times New Roman"/>
          <w:sz w:val="28"/>
          <w:szCs w:val="28"/>
          <w:lang w:val="uk-UA"/>
        </w:rPr>
        <w:t xml:space="preserve">азників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бюджету селищної </w:t>
      </w:r>
      <w:r w:rsidRPr="001C71D6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на 2022 рік. </w:t>
      </w:r>
      <w:r w:rsidRPr="00E1004D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proofErr w:type="spellStart"/>
      <w:r w:rsidRPr="00E1004D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E1004D">
        <w:rPr>
          <w:rFonts w:ascii="Times New Roman" w:hAnsi="Times New Roman"/>
          <w:sz w:val="28"/>
          <w:szCs w:val="28"/>
          <w:lang w:val="uk-UA"/>
        </w:rPr>
        <w:t xml:space="preserve"> бюджету на відповідний рік здійснюватиметься з урахуванням змін основних прогнозних показників економічн</w:t>
      </w:r>
      <w:r>
        <w:rPr>
          <w:rFonts w:ascii="Times New Roman" w:hAnsi="Times New Roman"/>
          <w:sz w:val="28"/>
          <w:szCs w:val="28"/>
          <w:lang w:val="uk-UA"/>
        </w:rPr>
        <w:t>ого і соціального розвитку громади</w:t>
      </w:r>
      <w:r w:rsidRPr="00E1004D">
        <w:rPr>
          <w:rFonts w:ascii="Times New Roman" w:hAnsi="Times New Roman"/>
          <w:sz w:val="28"/>
          <w:szCs w:val="28"/>
          <w:lang w:val="uk-UA"/>
        </w:rPr>
        <w:t>, а також змін у нормативно-правовій базі.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12C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85D">
        <w:rPr>
          <w:rFonts w:ascii="Times New Roman" w:hAnsi="Times New Roman"/>
          <w:sz w:val="28"/>
          <w:szCs w:val="28"/>
        </w:rPr>
        <w:t>до</w:t>
      </w:r>
      <w:proofErr w:type="gramEnd"/>
      <w:r w:rsidRPr="009C285D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граничні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кредитів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бюджету у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розрізі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років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lastRenderedPageBreak/>
        <w:t>середньострокового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періоду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наведені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C285D">
        <w:rPr>
          <w:rFonts w:ascii="Times New Roman" w:hAnsi="Times New Roman"/>
          <w:sz w:val="28"/>
          <w:szCs w:val="28"/>
        </w:rPr>
        <w:t>додатку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1 до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прогнозу бюджету.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357E6F" w:rsidRPr="00263CFC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3CF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263CFC">
        <w:rPr>
          <w:rFonts w:ascii="Times New Roman" w:hAnsi="Times New Roman"/>
          <w:b/>
          <w:sz w:val="28"/>
          <w:szCs w:val="28"/>
        </w:rPr>
        <w:t xml:space="preserve">ІV. </w:t>
      </w:r>
      <w:proofErr w:type="spellStart"/>
      <w:r w:rsidRPr="00263CFC">
        <w:rPr>
          <w:rFonts w:ascii="Times New Roman" w:hAnsi="Times New Roman"/>
          <w:b/>
          <w:sz w:val="28"/>
          <w:szCs w:val="28"/>
        </w:rPr>
        <w:t>Показники</w:t>
      </w:r>
      <w:proofErr w:type="spellEnd"/>
      <w:r w:rsidRPr="00263C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CFC">
        <w:rPr>
          <w:rFonts w:ascii="Times New Roman" w:hAnsi="Times New Roman"/>
          <w:b/>
          <w:sz w:val="28"/>
          <w:szCs w:val="28"/>
        </w:rPr>
        <w:t>доході</w:t>
      </w:r>
      <w:proofErr w:type="gramStart"/>
      <w:r w:rsidRPr="00263CFC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263CFC">
        <w:rPr>
          <w:rFonts w:ascii="Times New Roman" w:hAnsi="Times New Roman"/>
          <w:b/>
          <w:sz w:val="28"/>
          <w:szCs w:val="28"/>
        </w:rPr>
        <w:t xml:space="preserve"> бюджету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285D">
        <w:rPr>
          <w:rFonts w:ascii="Times New Roman" w:hAnsi="Times New Roman"/>
          <w:sz w:val="28"/>
          <w:szCs w:val="28"/>
        </w:rPr>
        <w:t xml:space="preserve">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9C285D">
        <w:rPr>
          <w:rFonts w:ascii="Times New Roman" w:hAnsi="Times New Roman"/>
          <w:sz w:val="28"/>
          <w:szCs w:val="28"/>
        </w:rPr>
        <w:t xml:space="preserve">Прогноз </w:t>
      </w:r>
      <w:proofErr w:type="spellStart"/>
      <w:r w:rsidRPr="009C285D">
        <w:rPr>
          <w:rFonts w:ascii="Times New Roman" w:hAnsi="Times New Roman"/>
          <w:sz w:val="28"/>
          <w:szCs w:val="28"/>
        </w:rPr>
        <w:t>дохідної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частини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9C285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 норм </w:t>
      </w:r>
      <w:proofErr w:type="spellStart"/>
      <w:r w:rsidRPr="009C285D">
        <w:rPr>
          <w:rFonts w:ascii="Times New Roman" w:hAnsi="Times New Roman"/>
          <w:sz w:val="28"/>
          <w:szCs w:val="28"/>
        </w:rPr>
        <w:t>бюджетно-податкового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прогнозних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макропоказників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285D">
        <w:rPr>
          <w:rFonts w:ascii="Times New Roman" w:hAnsi="Times New Roman"/>
          <w:sz w:val="28"/>
          <w:szCs w:val="28"/>
        </w:rPr>
        <w:t>соц</w:t>
      </w:r>
      <w:proofErr w:type="gramEnd"/>
      <w:r w:rsidRPr="009C285D">
        <w:rPr>
          <w:rFonts w:ascii="Times New Roman" w:hAnsi="Times New Roman"/>
          <w:sz w:val="28"/>
          <w:szCs w:val="28"/>
        </w:rPr>
        <w:t>іа</w:t>
      </w:r>
      <w:r>
        <w:rPr>
          <w:rFonts w:ascii="Times New Roman" w:hAnsi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податкової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Бюджетною </w:t>
      </w:r>
      <w:proofErr w:type="spellStart"/>
      <w:r w:rsidRPr="009C285D">
        <w:rPr>
          <w:rFonts w:ascii="Times New Roman" w:hAnsi="Times New Roman"/>
          <w:sz w:val="28"/>
          <w:szCs w:val="28"/>
        </w:rPr>
        <w:t>декларацією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2022-2024 роки, </w:t>
      </w:r>
      <w:proofErr w:type="spellStart"/>
      <w:r w:rsidRPr="009C285D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ормативно-правових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ради про </w:t>
      </w:r>
      <w:proofErr w:type="spellStart"/>
      <w:r w:rsidRPr="009C285D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зборів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.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63CFC">
        <w:rPr>
          <w:rFonts w:ascii="Times New Roman" w:hAnsi="Times New Roman"/>
          <w:sz w:val="28"/>
          <w:szCs w:val="28"/>
          <w:lang w:val="uk-UA"/>
        </w:rPr>
        <w:t>З метою розширення податкової бази та залучення додаткових н</w:t>
      </w:r>
      <w:r>
        <w:rPr>
          <w:rFonts w:ascii="Times New Roman" w:hAnsi="Times New Roman"/>
          <w:sz w:val="28"/>
          <w:szCs w:val="28"/>
          <w:lang w:val="uk-UA"/>
        </w:rPr>
        <w:t>адходжень до бюджету громади планується</w:t>
      </w:r>
      <w:r w:rsidRPr="00263CFC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посилити роботу щодо попередження та виявлення порушень законодавства у сфері земельних відносин;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проведення інвентаризації земельних ділянок;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своєчасно проводити перегляд діючих договорів оренди земельних ділянок, зокрема у разі змін відповідних норм Податкового кодексу;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розглядати питання щодо припинення права користування земельними ділянками у випадку систематичної несплати земельного податку або орендної плати на землю з метою передачі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користування платоспроможним суб’єктам господарювання;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забезпечити контроль за виконанням умов купівлі-продажу земельних ділянок, своєчасним та в повному обсязі надходження коштів до селищного бюджету;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посилити роботу щодо скорочення заборгованості по платежах до бюджету.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9C285D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доході</w:t>
      </w:r>
      <w:proofErr w:type="gramStart"/>
      <w:r w:rsidRPr="009C285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C285D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9C285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наведені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2 до П</w:t>
      </w:r>
      <w:r w:rsidRPr="009C285D">
        <w:rPr>
          <w:rFonts w:ascii="Times New Roman" w:hAnsi="Times New Roman"/>
          <w:sz w:val="28"/>
          <w:szCs w:val="28"/>
        </w:rPr>
        <w:t xml:space="preserve">рогнозу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C285D">
        <w:rPr>
          <w:rFonts w:ascii="Times New Roman" w:hAnsi="Times New Roman"/>
          <w:sz w:val="28"/>
          <w:szCs w:val="28"/>
        </w:rPr>
        <w:t>бюджету.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9C285D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джерелом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дохідної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частини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9C285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9C285D">
        <w:rPr>
          <w:rFonts w:ascii="Times New Roman" w:hAnsi="Times New Roman"/>
          <w:sz w:val="28"/>
          <w:szCs w:val="28"/>
        </w:rPr>
        <w:t>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C285D">
        <w:rPr>
          <w:rFonts w:ascii="Times New Roman" w:hAnsi="Times New Roman"/>
          <w:sz w:val="28"/>
          <w:szCs w:val="28"/>
        </w:rPr>
        <w:t>попередні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періоди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залишатиметься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податок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доходи </w:t>
      </w:r>
      <w:proofErr w:type="spellStart"/>
      <w:r w:rsidRPr="009C285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осіб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що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сплачується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податковими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агентами </w:t>
      </w:r>
      <w:proofErr w:type="spellStart"/>
      <w:r w:rsidRPr="009C285D">
        <w:rPr>
          <w:rFonts w:ascii="Times New Roman" w:hAnsi="Times New Roman"/>
          <w:sz w:val="28"/>
          <w:szCs w:val="28"/>
        </w:rPr>
        <w:t>із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доходів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платника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податку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C285D">
        <w:rPr>
          <w:rFonts w:ascii="Times New Roman" w:hAnsi="Times New Roman"/>
          <w:sz w:val="28"/>
          <w:szCs w:val="28"/>
        </w:rPr>
        <w:t>вигляді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плати,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податок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доходи </w:t>
      </w:r>
      <w:proofErr w:type="spellStart"/>
      <w:r w:rsidRPr="009C285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осіб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грошового </w:t>
      </w:r>
      <w:proofErr w:type="spellStart"/>
      <w:r w:rsidRPr="009C285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грошових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винагород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одержаних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військовослужбовцями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9C285D">
        <w:rPr>
          <w:rFonts w:ascii="Times New Roman" w:hAnsi="Times New Roman"/>
          <w:sz w:val="28"/>
          <w:szCs w:val="28"/>
        </w:rPr>
        <w:t>інших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виплат</w:t>
      </w:r>
      <w:proofErr w:type="spellEnd"/>
      <w:r w:rsidRPr="009C285D">
        <w:rPr>
          <w:rFonts w:ascii="Times New Roman" w:hAnsi="Times New Roman"/>
          <w:sz w:val="28"/>
          <w:szCs w:val="28"/>
        </w:rPr>
        <w:t>.</w:t>
      </w:r>
      <w:proofErr w:type="gramEnd"/>
      <w:r w:rsidRPr="009C285D">
        <w:rPr>
          <w:rFonts w:ascii="Times New Roman" w:hAnsi="Times New Roman"/>
          <w:sz w:val="28"/>
          <w:szCs w:val="28"/>
        </w:rPr>
        <w:t xml:space="preserve"> Прогноз </w:t>
      </w:r>
      <w:proofErr w:type="spellStart"/>
      <w:r w:rsidRPr="009C285D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податку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доходи </w:t>
      </w:r>
      <w:proofErr w:type="spellStart"/>
      <w:r w:rsidRPr="009C285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осіб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розраховано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C285D">
        <w:rPr>
          <w:rFonts w:ascii="Times New Roman" w:hAnsi="Times New Roman"/>
          <w:sz w:val="28"/>
          <w:szCs w:val="28"/>
        </w:rPr>
        <w:t>єдиної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ставки (18 %) </w:t>
      </w:r>
      <w:proofErr w:type="spellStart"/>
      <w:r w:rsidRPr="009C285D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доходів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осіб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сталого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285D">
        <w:rPr>
          <w:rFonts w:ascii="Times New Roman" w:hAnsi="Times New Roman"/>
          <w:sz w:val="28"/>
          <w:szCs w:val="28"/>
        </w:rPr>
        <w:t>п</w:t>
      </w:r>
      <w:proofErr w:type="gramEnd"/>
      <w:r w:rsidRPr="009C285D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мінімальної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плати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прожиткового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мінімуму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середньомісячної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Pr="009C285D">
        <w:rPr>
          <w:rFonts w:ascii="Times New Roman" w:hAnsi="Times New Roman"/>
          <w:sz w:val="28"/>
          <w:szCs w:val="28"/>
        </w:rPr>
        <w:t>найманих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9C285D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продуктивності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праці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легалізації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виплати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Є</w:t>
      </w:r>
      <w:proofErr w:type="gramStart"/>
      <w:r w:rsidRPr="009C285D">
        <w:rPr>
          <w:rFonts w:ascii="Times New Roman" w:hAnsi="Times New Roman"/>
          <w:sz w:val="28"/>
          <w:szCs w:val="28"/>
        </w:rPr>
        <w:t>д</w:t>
      </w:r>
      <w:proofErr w:type="gramEnd"/>
      <w:r w:rsidRPr="009C285D">
        <w:rPr>
          <w:rFonts w:ascii="Times New Roman" w:hAnsi="Times New Roman"/>
          <w:sz w:val="28"/>
          <w:szCs w:val="28"/>
        </w:rPr>
        <w:t>иний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податок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C285D">
        <w:rPr>
          <w:rFonts w:ascii="Times New Roman" w:hAnsi="Times New Roman"/>
          <w:sz w:val="28"/>
          <w:szCs w:val="28"/>
        </w:rPr>
        <w:t>це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другий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бюджетоутворюючий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податок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Прогнозний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обсяг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єдиного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податку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2022-</w:t>
      </w:r>
      <w:r w:rsidRPr="009C285D">
        <w:rPr>
          <w:rFonts w:ascii="Times New Roman" w:hAnsi="Times New Roman"/>
          <w:sz w:val="28"/>
          <w:szCs w:val="28"/>
        </w:rPr>
        <w:lastRenderedPageBreak/>
        <w:t xml:space="preserve">2024 роки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розраховано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9C285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фактичних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кілько</w:t>
      </w:r>
      <w:r>
        <w:rPr>
          <w:rFonts w:ascii="Times New Roman" w:hAnsi="Times New Roman"/>
          <w:sz w:val="28"/>
          <w:szCs w:val="28"/>
        </w:rPr>
        <w:t>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платникі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C28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Розрахунок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прогнозної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суми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плати за землю на 2022-2024 роки проведено за </w:t>
      </w:r>
      <w:proofErr w:type="spellStart"/>
      <w:proofErr w:type="gramStart"/>
      <w:r w:rsidRPr="009C285D">
        <w:rPr>
          <w:rFonts w:ascii="Times New Roman" w:hAnsi="Times New Roman"/>
          <w:sz w:val="28"/>
          <w:szCs w:val="28"/>
        </w:rPr>
        <w:t>п</w:t>
      </w:r>
      <w:proofErr w:type="gramEnd"/>
      <w:r w:rsidRPr="009C285D">
        <w:rPr>
          <w:rFonts w:ascii="Times New Roman" w:hAnsi="Times New Roman"/>
          <w:sz w:val="28"/>
          <w:szCs w:val="28"/>
        </w:rPr>
        <w:t>ідсумками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фактичних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C285D">
        <w:rPr>
          <w:rFonts w:ascii="Times New Roman" w:hAnsi="Times New Roman"/>
          <w:sz w:val="28"/>
          <w:szCs w:val="28"/>
        </w:rPr>
        <w:t>попередні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роки, за ставкам</w:t>
      </w:r>
      <w:r>
        <w:rPr>
          <w:rFonts w:ascii="Times New Roman" w:hAnsi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/>
          <w:sz w:val="28"/>
          <w:szCs w:val="28"/>
        </w:rPr>
        <w:t>визначеними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ради,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земельного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орендної плати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07 </w:t>
      </w:r>
      <w:proofErr w:type="spellStart"/>
      <w:r>
        <w:rPr>
          <w:rFonts w:ascii="Times New Roman" w:hAnsi="Times New Roman"/>
          <w:sz w:val="28"/>
          <w:szCs w:val="28"/>
        </w:rPr>
        <w:t>липня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2021 року № 935 )</w:t>
      </w:r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перегляду </w:t>
      </w:r>
      <w:proofErr w:type="spellStart"/>
      <w:r w:rsidRPr="009C285D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оренди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>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врегулювання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розміру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орендної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плати, </w:t>
      </w:r>
      <w:proofErr w:type="spellStart"/>
      <w:r w:rsidRPr="009C285D">
        <w:rPr>
          <w:rFonts w:ascii="Times New Roman" w:hAnsi="Times New Roman"/>
          <w:sz w:val="28"/>
          <w:szCs w:val="28"/>
        </w:rPr>
        <w:t>поновлення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9C285D">
        <w:rPr>
          <w:rFonts w:ascii="Times New Roman" w:hAnsi="Times New Roman"/>
          <w:sz w:val="28"/>
          <w:szCs w:val="28"/>
        </w:rPr>
        <w:t>дії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оренди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285D">
        <w:rPr>
          <w:rFonts w:ascii="Times New Roman" w:hAnsi="Times New Roman"/>
          <w:sz w:val="28"/>
          <w:szCs w:val="28"/>
        </w:rPr>
        <w:t>р</w:t>
      </w:r>
      <w:proofErr w:type="gramEnd"/>
      <w:r w:rsidRPr="009C285D">
        <w:rPr>
          <w:rFonts w:ascii="Times New Roman" w:hAnsi="Times New Roman"/>
          <w:sz w:val="28"/>
          <w:szCs w:val="28"/>
        </w:rPr>
        <w:t>ішень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C285D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факту </w:t>
      </w:r>
      <w:proofErr w:type="spellStart"/>
      <w:r w:rsidRPr="009C285D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Pr="009C285D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9C285D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правовстановлювальних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погашення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боргу,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індексації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нормативної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оцінки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Pr="009C285D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пунктів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285D">
        <w:rPr>
          <w:rFonts w:ascii="Times New Roman" w:hAnsi="Times New Roman"/>
          <w:sz w:val="28"/>
          <w:szCs w:val="28"/>
        </w:rPr>
        <w:t>інших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Pr="009C285D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C285D">
        <w:rPr>
          <w:rFonts w:ascii="Times New Roman" w:hAnsi="Times New Roman"/>
          <w:sz w:val="28"/>
          <w:szCs w:val="28"/>
        </w:rPr>
        <w:t>вимо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C61EA">
        <w:rPr>
          <w:rFonts w:ascii="Times New Roman" w:hAnsi="Times New Roman"/>
          <w:sz w:val="28"/>
          <w:szCs w:val="28"/>
          <w:lang w:val="uk-UA"/>
        </w:rPr>
        <w:t xml:space="preserve"> Податок на нерухоме майно, відмінне від земельної ділянки,</w:t>
      </w:r>
      <w:r>
        <w:rPr>
          <w:rFonts w:ascii="Times New Roman" w:hAnsi="Times New Roman"/>
          <w:sz w:val="28"/>
          <w:szCs w:val="28"/>
          <w:lang w:val="uk-UA"/>
        </w:rPr>
        <w:t xml:space="preserve"> та туристичний збір на 2022-20</w:t>
      </w:r>
      <w:r w:rsidRPr="007C61EA">
        <w:rPr>
          <w:rFonts w:ascii="Times New Roman" w:hAnsi="Times New Roman"/>
          <w:sz w:val="28"/>
          <w:szCs w:val="28"/>
          <w:lang w:val="uk-UA"/>
        </w:rPr>
        <w:t xml:space="preserve">24 роки прогнозуються з урахуванням збільшення ставок податку, які встановлені рішеннями Млинівської селищної  ради від 07 липня 2021 року № 934 та № 936, та темпів зростання мінімальної заробітної плати.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Прогнозні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акцизного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податку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2022-2024 роки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розраховані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фактичних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баз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оподаткування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за </w:t>
      </w:r>
      <w:r w:rsidRPr="009C285D">
        <w:rPr>
          <w:rFonts w:ascii="Times New Roman" w:hAnsi="Times New Roman"/>
          <w:sz w:val="28"/>
          <w:szCs w:val="28"/>
        </w:rPr>
        <w:t xml:space="preserve"> ставкою 5 % в </w:t>
      </w:r>
      <w:proofErr w:type="spellStart"/>
      <w:r w:rsidRPr="009C285D">
        <w:rPr>
          <w:rFonts w:ascii="Times New Roman" w:hAnsi="Times New Roman"/>
          <w:sz w:val="28"/>
          <w:szCs w:val="28"/>
        </w:rPr>
        <w:t>частині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акцизного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податку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суб'єктами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роздрібної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торгі</w:t>
      </w:r>
      <w:proofErr w:type="gramStart"/>
      <w:r w:rsidRPr="009C285D">
        <w:rPr>
          <w:rFonts w:ascii="Times New Roman" w:hAnsi="Times New Roman"/>
          <w:sz w:val="28"/>
          <w:szCs w:val="28"/>
        </w:rPr>
        <w:t>вл</w:t>
      </w:r>
      <w:proofErr w:type="gramEnd"/>
      <w:r w:rsidRPr="009C285D">
        <w:rPr>
          <w:rFonts w:ascii="Times New Roman" w:hAnsi="Times New Roman"/>
          <w:sz w:val="28"/>
          <w:szCs w:val="28"/>
        </w:rPr>
        <w:t>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підакцизних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товарів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(пива, </w:t>
      </w:r>
      <w:proofErr w:type="spellStart"/>
      <w:r w:rsidRPr="009C285D">
        <w:rPr>
          <w:rFonts w:ascii="Times New Roman" w:hAnsi="Times New Roman"/>
          <w:sz w:val="28"/>
          <w:szCs w:val="28"/>
        </w:rPr>
        <w:t>алкогольних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напоїв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тютюнових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виробів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тютюну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промислових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замінників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тютюну)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вимог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діючого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щодо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частини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акцизного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податку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виробленого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C285D">
        <w:rPr>
          <w:rFonts w:ascii="Times New Roman" w:hAnsi="Times New Roman"/>
          <w:sz w:val="28"/>
          <w:szCs w:val="28"/>
        </w:rPr>
        <w:t>Україні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ввезеного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C285D">
        <w:rPr>
          <w:rFonts w:ascii="Times New Roman" w:hAnsi="Times New Roman"/>
          <w:sz w:val="28"/>
          <w:szCs w:val="28"/>
        </w:rPr>
        <w:t>митну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територію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пального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розмі</w:t>
      </w:r>
      <w:proofErr w:type="gramStart"/>
      <w:r w:rsidRPr="009C285D">
        <w:rPr>
          <w:rFonts w:ascii="Times New Roman" w:hAnsi="Times New Roman"/>
          <w:sz w:val="28"/>
          <w:szCs w:val="28"/>
        </w:rPr>
        <w:t>р</w:t>
      </w:r>
      <w:proofErr w:type="gramEnd"/>
      <w:r w:rsidRPr="009C285D">
        <w:rPr>
          <w:rFonts w:ascii="Times New Roman" w:hAnsi="Times New Roman"/>
          <w:sz w:val="28"/>
          <w:szCs w:val="28"/>
        </w:rPr>
        <w:t>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13,44 </w:t>
      </w:r>
      <w:proofErr w:type="spellStart"/>
      <w:r w:rsidRPr="009C285D">
        <w:rPr>
          <w:rFonts w:ascii="Times New Roman" w:hAnsi="Times New Roman"/>
          <w:sz w:val="28"/>
          <w:szCs w:val="28"/>
        </w:rPr>
        <w:t>відсотка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C285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громад. </w:t>
      </w:r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285D">
        <w:rPr>
          <w:rFonts w:ascii="Times New Roman" w:hAnsi="Times New Roman"/>
          <w:sz w:val="28"/>
          <w:szCs w:val="28"/>
        </w:rPr>
        <w:t>посл</w:t>
      </w:r>
      <w:proofErr w:type="gramEnd"/>
      <w:r w:rsidRPr="009C285D">
        <w:rPr>
          <w:rFonts w:ascii="Times New Roman" w:hAnsi="Times New Roman"/>
          <w:sz w:val="28"/>
          <w:szCs w:val="28"/>
        </w:rPr>
        <w:t>ідовної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передбачуваної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податкової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C285D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C285D">
        <w:rPr>
          <w:rFonts w:ascii="Times New Roman" w:hAnsi="Times New Roman"/>
          <w:sz w:val="28"/>
          <w:szCs w:val="28"/>
        </w:rPr>
        <w:t>середньостроковому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періоді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дозволить </w:t>
      </w:r>
      <w:proofErr w:type="spellStart"/>
      <w:r w:rsidRPr="009C285D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C285D">
        <w:rPr>
          <w:rFonts w:ascii="Times New Roman" w:hAnsi="Times New Roman"/>
          <w:sz w:val="28"/>
          <w:szCs w:val="28"/>
        </w:rPr>
        <w:t>середньорічн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на </w:t>
      </w:r>
      <w:r>
        <w:rPr>
          <w:rFonts w:ascii="Times New Roman" w:hAnsi="Times New Roman"/>
          <w:sz w:val="28"/>
          <w:szCs w:val="28"/>
          <w:lang w:val="uk-UA"/>
        </w:rPr>
        <w:t xml:space="preserve">8,2 </w:t>
      </w:r>
      <w:r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0" w:name="_GoBack"/>
      <w:bookmarkEnd w:id="0"/>
    </w:p>
    <w:p w:rsidR="00357E6F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A11960">
        <w:rPr>
          <w:rFonts w:ascii="Times New Roman" w:hAnsi="Times New Roman"/>
          <w:b/>
          <w:sz w:val="28"/>
          <w:szCs w:val="28"/>
        </w:rPr>
        <w:t xml:space="preserve">V.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Показники</w:t>
      </w:r>
      <w:proofErr w:type="spellEnd"/>
      <w:r w:rsidRPr="00A119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фінансування</w:t>
      </w:r>
      <w:proofErr w:type="spellEnd"/>
      <w:r w:rsidRPr="00A11960">
        <w:rPr>
          <w:rFonts w:ascii="Times New Roman" w:hAnsi="Times New Roman"/>
          <w:b/>
          <w:sz w:val="28"/>
          <w:szCs w:val="28"/>
        </w:rPr>
        <w:t xml:space="preserve"> бюджету,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показники</w:t>
      </w:r>
      <w:proofErr w:type="spellEnd"/>
      <w:r w:rsidRPr="00A119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місцевого</w:t>
      </w:r>
      <w:proofErr w:type="spellEnd"/>
      <w:r w:rsidRPr="00A11960">
        <w:rPr>
          <w:rFonts w:ascii="Times New Roman" w:hAnsi="Times New Roman"/>
          <w:b/>
          <w:sz w:val="28"/>
          <w:szCs w:val="28"/>
        </w:rPr>
        <w:t xml:space="preserve"> боргу,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гарантованого</w:t>
      </w:r>
      <w:proofErr w:type="spellEnd"/>
      <w:r w:rsidRPr="00A119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територіальною</w:t>
      </w:r>
      <w:proofErr w:type="spellEnd"/>
      <w:r w:rsidRPr="00A11960">
        <w:rPr>
          <w:rFonts w:ascii="Times New Roman" w:hAnsi="Times New Roman"/>
          <w:b/>
          <w:sz w:val="28"/>
          <w:szCs w:val="28"/>
        </w:rPr>
        <w:t xml:space="preserve"> громадою  боргу та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119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місцевих</w:t>
      </w:r>
      <w:proofErr w:type="spellEnd"/>
      <w:r w:rsidRPr="00A119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гарантій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357E6F" w:rsidRPr="00A11960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місцево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боргу, </w:t>
      </w:r>
      <w:proofErr w:type="spellStart"/>
      <w:r>
        <w:rPr>
          <w:rFonts w:ascii="Times New Roman" w:hAnsi="Times New Roman"/>
          <w:sz w:val="28"/>
          <w:szCs w:val="28"/>
        </w:rPr>
        <w:t>гарантованого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територіальною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громадою боргу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гарантій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2022-2024 роки </w:t>
      </w:r>
      <w:r w:rsidRPr="00A11960">
        <w:rPr>
          <w:rFonts w:ascii="Times New Roman" w:hAnsi="Times New Roman"/>
          <w:sz w:val="28"/>
          <w:szCs w:val="28"/>
        </w:rPr>
        <w:t xml:space="preserve">наведено у </w:t>
      </w:r>
      <w:proofErr w:type="spellStart"/>
      <w:r w:rsidRPr="00A11960">
        <w:rPr>
          <w:rFonts w:ascii="Times New Roman" w:hAnsi="Times New Roman"/>
          <w:sz w:val="28"/>
          <w:szCs w:val="28"/>
        </w:rPr>
        <w:t>додатках</w:t>
      </w:r>
      <w:proofErr w:type="spellEnd"/>
      <w:r w:rsidRPr="00A11960">
        <w:rPr>
          <w:rFonts w:ascii="Times New Roman" w:hAnsi="Times New Roman"/>
          <w:sz w:val="28"/>
          <w:szCs w:val="28"/>
        </w:rPr>
        <w:t xml:space="preserve"> 3, 4, 5 </w:t>
      </w:r>
      <w:proofErr w:type="gramStart"/>
      <w:r w:rsidRPr="00A11960">
        <w:rPr>
          <w:rFonts w:ascii="Times New Roman" w:hAnsi="Times New Roman"/>
          <w:sz w:val="28"/>
          <w:szCs w:val="28"/>
        </w:rPr>
        <w:t>до</w:t>
      </w:r>
      <w:proofErr w:type="gramEnd"/>
      <w:r w:rsidRPr="00A11960">
        <w:rPr>
          <w:rFonts w:ascii="Times New Roman" w:hAnsi="Times New Roman"/>
          <w:sz w:val="28"/>
          <w:szCs w:val="28"/>
        </w:rPr>
        <w:t xml:space="preserve"> Прогнозу.</w:t>
      </w:r>
      <w:r w:rsidRPr="00A11960">
        <w:rPr>
          <w:rFonts w:ascii="Times New Roman" w:hAnsi="Times New Roman"/>
          <w:b/>
          <w:sz w:val="28"/>
          <w:szCs w:val="28"/>
        </w:rPr>
        <w:t xml:space="preserve">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1960">
        <w:rPr>
          <w:rFonts w:ascii="Times New Roman" w:hAnsi="Times New Roman"/>
          <w:b/>
          <w:sz w:val="28"/>
          <w:szCs w:val="28"/>
        </w:rPr>
        <w:t xml:space="preserve"> </w:t>
      </w:r>
      <w:r w:rsidRPr="00A11960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A119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1960">
        <w:rPr>
          <w:rFonts w:ascii="Times New Roman" w:hAnsi="Times New Roman"/>
          <w:b/>
          <w:sz w:val="28"/>
          <w:szCs w:val="28"/>
        </w:rPr>
        <w:t xml:space="preserve"> VІ.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Показники</w:t>
      </w:r>
      <w:proofErr w:type="spellEnd"/>
      <w:r w:rsidRPr="00A119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видаткі</w:t>
      </w:r>
      <w:proofErr w:type="gramStart"/>
      <w:r w:rsidRPr="00A11960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A1196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11960">
        <w:rPr>
          <w:rFonts w:ascii="Times New Roman" w:hAnsi="Times New Roman"/>
          <w:b/>
          <w:sz w:val="28"/>
          <w:szCs w:val="28"/>
        </w:rPr>
        <w:t>бюджету</w:t>
      </w:r>
      <w:proofErr w:type="gramEnd"/>
      <w:r w:rsidRPr="00A1196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119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кредитів</w:t>
      </w:r>
      <w:proofErr w:type="spellEnd"/>
      <w:r w:rsidRPr="00A119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1960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A11960">
        <w:rPr>
          <w:rFonts w:ascii="Times New Roman" w:hAnsi="Times New Roman"/>
          <w:b/>
          <w:sz w:val="28"/>
          <w:szCs w:val="28"/>
        </w:rPr>
        <w:t xml:space="preserve"> бюджету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285D">
        <w:rPr>
          <w:rFonts w:ascii="Times New Roman" w:hAnsi="Times New Roman"/>
          <w:sz w:val="28"/>
          <w:szCs w:val="28"/>
        </w:rPr>
        <w:t>П</w:t>
      </w:r>
      <w:proofErr w:type="gramEnd"/>
      <w:r w:rsidRPr="009C285D">
        <w:rPr>
          <w:rFonts w:ascii="Times New Roman" w:hAnsi="Times New Roman"/>
          <w:sz w:val="28"/>
          <w:szCs w:val="28"/>
        </w:rPr>
        <w:t>ід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C285D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видатково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Млинівської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C285D">
        <w:rPr>
          <w:rFonts w:ascii="Times New Roman" w:hAnsi="Times New Roman"/>
          <w:sz w:val="28"/>
          <w:szCs w:val="28"/>
        </w:rPr>
        <w:t>середньостроковому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періоді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прагненням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є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цілей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9C285D">
        <w:rPr>
          <w:rFonts w:ascii="Times New Roman" w:hAnsi="Times New Roman"/>
          <w:sz w:val="28"/>
          <w:szCs w:val="28"/>
        </w:rPr>
        <w:t>ресурсних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9C285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спрямовування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коштів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заходи </w:t>
      </w:r>
      <w:proofErr w:type="spellStart"/>
      <w:r w:rsidRPr="009C285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C285D">
        <w:rPr>
          <w:rFonts w:ascii="Times New Roman" w:hAnsi="Times New Roman"/>
          <w:sz w:val="28"/>
          <w:szCs w:val="28"/>
        </w:rPr>
        <w:t>їх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пріоритетності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актуальності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9C285D">
        <w:rPr>
          <w:rFonts w:ascii="Times New Roman" w:hAnsi="Times New Roman"/>
          <w:sz w:val="28"/>
          <w:szCs w:val="28"/>
        </w:rPr>
        <w:t>також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економного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коштів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C285D">
        <w:rPr>
          <w:rFonts w:ascii="Times New Roman" w:hAnsi="Times New Roman"/>
          <w:sz w:val="28"/>
          <w:szCs w:val="28"/>
        </w:rPr>
        <w:t>діючими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бюджетними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lastRenderedPageBreak/>
        <w:t>програмами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Прогнозні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едитування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Млинівської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терит</w:t>
      </w:r>
      <w:r>
        <w:rPr>
          <w:rFonts w:ascii="Times New Roman" w:hAnsi="Times New Roman"/>
          <w:sz w:val="28"/>
          <w:szCs w:val="28"/>
        </w:rPr>
        <w:t>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2022 – 202</w:t>
      </w:r>
      <w:r w:rsidRPr="00390A27">
        <w:rPr>
          <w:rFonts w:ascii="Times New Roman" w:hAnsi="Times New Roman"/>
          <w:sz w:val="28"/>
          <w:szCs w:val="28"/>
        </w:rPr>
        <w:t>4</w:t>
      </w:r>
      <w:r w:rsidRPr="009C285D">
        <w:rPr>
          <w:rFonts w:ascii="Times New Roman" w:hAnsi="Times New Roman"/>
          <w:sz w:val="28"/>
          <w:szCs w:val="28"/>
        </w:rPr>
        <w:t xml:space="preserve"> роки </w:t>
      </w:r>
      <w:proofErr w:type="spellStart"/>
      <w:r w:rsidRPr="009C285D">
        <w:rPr>
          <w:rFonts w:ascii="Times New Roman" w:hAnsi="Times New Roman"/>
          <w:sz w:val="28"/>
          <w:szCs w:val="28"/>
        </w:rPr>
        <w:t>відображені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9C285D">
        <w:rPr>
          <w:rFonts w:ascii="Times New Roman" w:hAnsi="Times New Roman"/>
          <w:sz w:val="28"/>
          <w:szCs w:val="28"/>
        </w:rPr>
        <w:t>п</w:t>
      </w:r>
      <w:proofErr w:type="gramEnd"/>
      <w:r w:rsidRPr="009C285D">
        <w:rPr>
          <w:rFonts w:ascii="Times New Roman" w:hAnsi="Times New Roman"/>
          <w:sz w:val="28"/>
          <w:szCs w:val="28"/>
        </w:rPr>
        <w:t>ідставі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поданих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головними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розпорядниками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коштів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ропозицій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Прогнозу,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граничні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кредитів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9C285D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розпорядникам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коштів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C285D">
        <w:rPr>
          <w:rFonts w:ascii="Times New Roman" w:hAnsi="Times New Roman"/>
          <w:sz w:val="28"/>
          <w:szCs w:val="28"/>
        </w:rPr>
        <w:t>додаток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6; </w:t>
      </w:r>
      <w:proofErr w:type="spellStart"/>
      <w:r w:rsidRPr="009C285D">
        <w:rPr>
          <w:rFonts w:ascii="Times New Roman" w:hAnsi="Times New Roman"/>
          <w:sz w:val="28"/>
          <w:szCs w:val="28"/>
        </w:rPr>
        <w:t>граничні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бюджету за </w:t>
      </w:r>
      <w:proofErr w:type="gramStart"/>
      <w:r w:rsidRPr="009C285D">
        <w:rPr>
          <w:rFonts w:ascii="Times New Roman" w:hAnsi="Times New Roman"/>
          <w:sz w:val="28"/>
          <w:szCs w:val="28"/>
        </w:rPr>
        <w:t>Типовою</w:t>
      </w:r>
      <w:proofErr w:type="gram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програмною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класифікацією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кредитування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бюджету – </w:t>
      </w:r>
      <w:proofErr w:type="spellStart"/>
      <w:r w:rsidRPr="009C285D">
        <w:rPr>
          <w:rFonts w:ascii="Times New Roman" w:hAnsi="Times New Roman"/>
          <w:sz w:val="28"/>
          <w:szCs w:val="28"/>
        </w:rPr>
        <w:t>додаток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7. В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процесі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видаткової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частини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9C285D">
        <w:rPr>
          <w:rFonts w:ascii="Times New Roman" w:hAnsi="Times New Roman"/>
          <w:sz w:val="28"/>
          <w:szCs w:val="28"/>
        </w:rPr>
        <w:t>враховані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прогнозні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розміри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мінімальної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плати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посадового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окладу </w:t>
      </w:r>
      <w:proofErr w:type="spellStart"/>
      <w:r w:rsidRPr="009C285D">
        <w:rPr>
          <w:rFonts w:ascii="Times New Roman" w:hAnsi="Times New Roman"/>
          <w:sz w:val="28"/>
          <w:szCs w:val="28"/>
        </w:rPr>
        <w:t>працівника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першого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85D">
        <w:rPr>
          <w:rFonts w:ascii="Times New Roman" w:hAnsi="Times New Roman"/>
          <w:sz w:val="28"/>
          <w:szCs w:val="28"/>
        </w:rPr>
        <w:t>тарифного</w:t>
      </w:r>
      <w:proofErr w:type="gram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розряду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Єдиної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тарифної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сітки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2022-2024 роки </w:t>
      </w:r>
      <w:proofErr w:type="spellStart"/>
      <w:r w:rsidRPr="009C285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C285D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деклараці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 на 2022-2024 роки</w:t>
      </w:r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прийнятої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Верховною Радою </w:t>
      </w:r>
      <w:proofErr w:type="spellStart"/>
      <w:r w:rsidRPr="009C285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9C285D">
        <w:rPr>
          <w:rFonts w:ascii="Times New Roman" w:hAnsi="Times New Roman"/>
          <w:sz w:val="28"/>
          <w:szCs w:val="28"/>
        </w:rPr>
        <w:t>липня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021 року.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356E">
        <w:rPr>
          <w:rFonts w:ascii="Times New Roman" w:hAnsi="Times New Roman"/>
          <w:sz w:val="28"/>
          <w:szCs w:val="28"/>
        </w:rPr>
        <w:t xml:space="preserve">      </w:t>
      </w:r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85D">
        <w:rPr>
          <w:rFonts w:ascii="Times New Roman" w:hAnsi="Times New Roman"/>
          <w:sz w:val="28"/>
          <w:szCs w:val="28"/>
        </w:rPr>
        <w:t xml:space="preserve">В першу </w:t>
      </w:r>
      <w:proofErr w:type="spellStart"/>
      <w:r w:rsidRPr="009C285D">
        <w:rPr>
          <w:rFonts w:ascii="Times New Roman" w:hAnsi="Times New Roman"/>
          <w:sz w:val="28"/>
          <w:szCs w:val="28"/>
        </w:rPr>
        <w:t>чергу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9C285D">
        <w:rPr>
          <w:rFonts w:ascii="Times New Roman" w:hAnsi="Times New Roman"/>
          <w:sz w:val="28"/>
          <w:szCs w:val="28"/>
        </w:rPr>
        <w:t>формуванні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видаткової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частини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прогнозу бюджету </w:t>
      </w:r>
      <w:proofErr w:type="spellStart"/>
      <w:r w:rsidRPr="009C285D">
        <w:rPr>
          <w:rFonts w:ascii="Times New Roman" w:hAnsi="Times New Roman"/>
          <w:sz w:val="28"/>
          <w:szCs w:val="28"/>
        </w:rPr>
        <w:t>враховано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вимоги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статті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77 Бюджетного кодексу </w:t>
      </w:r>
      <w:proofErr w:type="spellStart"/>
      <w:r w:rsidRPr="009C285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щодо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потреби в коштах на оплату </w:t>
      </w:r>
      <w:proofErr w:type="spellStart"/>
      <w:r w:rsidRPr="009C285D">
        <w:rPr>
          <w:rFonts w:ascii="Times New Roman" w:hAnsi="Times New Roman"/>
          <w:sz w:val="28"/>
          <w:szCs w:val="28"/>
        </w:rPr>
        <w:t>праці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установ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C285D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умов оплати </w:t>
      </w:r>
      <w:proofErr w:type="spellStart"/>
      <w:r w:rsidRPr="009C285D">
        <w:rPr>
          <w:rFonts w:ascii="Times New Roman" w:hAnsi="Times New Roman"/>
          <w:sz w:val="28"/>
          <w:szCs w:val="28"/>
        </w:rPr>
        <w:t>праці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розміру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мінімальної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плати, на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C285D">
        <w:rPr>
          <w:rFonts w:ascii="Times New Roman" w:hAnsi="Times New Roman"/>
          <w:sz w:val="28"/>
          <w:szCs w:val="28"/>
        </w:rPr>
        <w:t>електричну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285D">
        <w:rPr>
          <w:rFonts w:ascii="Times New Roman" w:hAnsi="Times New Roman"/>
          <w:sz w:val="28"/>
          <w:szCs w:val="28"/>
        </w:rPr>
        <w:t>теплову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енергію</w:t>
      </w:r>
      <w:proofErr w:type="spellEnd"/>
      <w:proofErr w:type="gram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водовідведення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природний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газ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зв'язку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які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споживаються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бюджетними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некомерційними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285D">
        <w:rPr>
          <w:rFonts w:ascii="Times New Roman" w:hAnsi="Times New Roman"/>
          <w:sz w:val="28"/>
          <w:szCs w:val="28"/>
        </w:rPr>
        <w:t>п</w:t>
      </w:r>
      <w:proofErr w:type="gramEnd"/>
      <w:r w:rsidRPr="009C285D">
        <w:rPr>
          <w:rFonts w:ascii="Times New Roman" w:hAnsi="Times New Roman"/>
          <w:sz w:val="28"/>
          <w:szCs w:val="28"/>
        </w:rPr>
        <w:t>ідприємствами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285D">
        <w:rPr>
          <w:rFonts w:ascii="Times New Roman" w:hAnsi="Times New Roman"/>
          <w:sz w:val="28"/>
          <w:szCs w:val="28"/>
        </w:rPr>
        <w:t>Враховані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також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обсяги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C285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стабільної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роботи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установ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соціально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C285D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сфери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гарантій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C285D">
        <w:rPr>
          <w:rFonts w:ascii="Times New Roman" w:hAnsi="Times New Roman"/>
          <w:sz w:val="28"/>
          <w:szCs w:val="28"/>
        </w:rPr>
        <w:t>малозахищених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C285D">
        <w:rPr>
          <w:rFonts w:ascii="Times New Roman" w:hAnsi="Times New Roman"/>
          <w:sz w:val="28"/>
          <w:szCs w:val="28"/>
        </w:rPr>
        <w:t>належному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стані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житлово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C285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інш</w:t>
      </w:r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інфраструктури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C285D">
        <w:rPr>
          <w:rFonts w:ascii="Times New Roman" w:hAnsi="Times New Roman"/>
          <w:sz w:val="28"/>
          <w:szCs w:val="28"/>
        </w:rPr>
        <w:t>,</w:t>
      </w:r>
      <w:proofErr w:type="gram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C285D">
        <w:rPr>
          <w:rFonts w:ascii="Times New Roman" w:hAnsi="Times New Roman"/>
          <w:sz w:val="28"/>
          <w:szCs w:val="28"/>
        </w:rPr>
        <w:t>енергоефективності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C285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в межа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фінансових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цільових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C285D">
        <w:rPr>
          <w:rFonts w:ascii="Times New Roman" w:hAnsi="Times New Roman"/>
          <w:sz w:val="28"/>
          <w:szCs w:val="28"/>
        </w:rPr>
        <w:t>комплексних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програм</w:t>
      </w:r>
      <w:proofErr w:type="spellEnd"/>
      <w:r w:rsidRPr="009C28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357E6F" w:rsidRPr="0034356E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34356E">
        <w:rPr>
          <w:rFonts w:ascii="Times New Roman" w:hAnsi="Times New Roman"/>
          <w:b/>
          <w:sz w:val="28"/>
          <w:szCs w:val="28"/>
          <w:lang w:val="uk-UA"/>
        </w:rPr>
        <w:t xml:space="preserve"> Освіта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4356E">
        <w:rPr>
          <w:rFonts w:ascii="Times New Roman" w:hAnsi="Times New Roman"/>
          <w:sz w:val="28"/>
          <w:szCs w:val="28"/>
          <w:lang w:val="uk-UA"/>
        </w:rPr>
        <w:t>Цілі державної політики у сфері освіти реалізуються головними розпорядниками бюджетних кошті</w:t>
      </w:r>
      <w:r>
        <w:rPr>
          <w:rFonts w:ascii="Times New Roman" w:hAnsi="Times New Roman"/>
          <w:sz w:val="28"/>
          <w:szCs w:val="28"/>
          <w:lang w:val="uk-UA"/>
        </w:rPr>
        <w:t xml:space="preserve">в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Млинівською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селищною радою</w:t>
      </w:r>
      <w:r w:rsidRPr="0034356E">
        <w:rPr>
          <w:rFonts w:ascii="Times New Roman" w:hAnsi="Times New Roman"/>
          <w:sz w:val="28"/>
          <w:szCs w:val="28"/>
          <w:lang w:val="uk-UA"/>
        </w:rPr>
        <w:t xml:space="preserve"> та у середньостроковій перспективі будуть направлені на: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</w:t>
      </w:r>
      <w:r w:rsidRPr="0034356E">
        <w:rPr>
          <w:rFonts w:ascii="Times New Roman" w:hAnsi="Times New Roman"/>
          <w:sz w:val="28"/>
          <w:szCs w:val="28"/>
          <w:lang w:val="uk-UA"/>
        </w:rPr>
        <w:t xml:space="preserve"> повноцінний розвиток кожної дитини, її успішну інтеграцію в українське суспільство та європейську інтеграцію;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</w:t>
      </w:r>
      <w:r w:rsidRPr="0034356E">
        <w:rPr>
          <w:rFonts w:ascii="Times New Roman" w:hAnsi="Times New Roman"/>
          <w:sz w:val="28"/>
          <w:szCs w:val="28"/>
          <w:lang w:val="uk-UA"/>
        </w:rPr>
        <w:t xml:space="preserve"> забезпечення діяльності мережі дошкільних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закладів </w:t>
      </w:r>
      <w:r w:rsidRPr="0034356E">
        <w:rPr>
          <w:rFonts w:ascii="Times New Roman" w:hAnsi="Times New Roman"/>
          <w:sz w:val="28"/>
          <w:szCs w:val="28"/>
          <w:lang w:val="uk-UA"/>
        </w:rPr>
        <w:t xml:space="preserve">, створення умов для їх функціонування, зміцнення матеріально-технічної бази дошкільних навчальних закладів, урізноманітнення моделей організації дошкільної освіти, охоплення дітей обов’язковою дошкільною освітою;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- </w:t>
      </w:r>
      <w:r w:rsidRPr="0034356E">
        <w:rPr>
          <w:rFonts w:ascii="Times New Roman" w:hAnsi="Times New Roman"/>
          <w:sz w:val="28"/>
          <w:szCs w:val="28"/>
          <w:lang w:val="uk-UA"/>
        </w:rPr>
        <w:t>здійснення заходів для забезпечення якісної, сучасної, конкурентоспроможної та доступної освіти шл</w:t>
      </w:r>
      <w:r>
        <w:rPr>
          <w:rFonts w:ascii="Times New Roman" w:hAnsi="Times New Roman"/>
          <w:sz w:val="28"/>
          <w:szCs w:val="28"/>
          <w:lang w:val="uk-UA"/>
        </w:rPr>
        <w:t>яхом реалізації таких заходів: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5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34356E">
        <w:rPr>
          <w:rFonts w:ascii="Times New Roman" w:hAnsi="Times New Roman"/>
          <w:sz w:val="28"/>
          <w:szCs w:val="28"/>
          <w:lang w:val="uk-UA"/>
        </w:rPr>
        <w:t>забезпечення в рамках продовження реформи загальної середньої освіти «Нова українська школа» якісної та доступної освіти шляхом стимулювання вчителів до професійного розвитку, розбудови нового освітнього середовища;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-</w:t>
      </w:r>
      <w:r w:rsidRPr="0034356E">
        <w:rPr>
          <w:rFonts w:ascii="Times New Roman" w:hAnsi="Times New Roman"/>
          <w:sz w:val="28"/>
          <w:szCs w:val="28"/>
          <w:lang w:val="uk-UA"/>
        </w:rPr>
        <w:t xml:space="preserve"> забезпечення закладів загальної середньої освіти сучасним навчальним обладнанням та оновлення матеріально-технічної бази;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Pr="0034356E">
        <w:rPr>
          <w:rFonts w:ascii="Times New Roman" w:hAnsi="Times New Roman"/>
          <w:sz w:val="28"/>
          <w:szCs w:val="28"/>
          <w:lang w:val="uk-UA"/>
        </w:rPr>
        <w:t xml:space="preserve"> розбудова безпечної та інклюзивної системи освіти за допомогою наближення освітніх послуг учням з особливими освітніми потребами максимально до місця їх проживання, врахування індивідуальних потреб і можливостей таких здобувачів освіти;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Pr="0034356E">
        <w:rPr>
          <w:rFonts w:ascii="Times New Roman" w:hAnsi="Times New Roman"/>
          <w:sz w:val="28"/>
          <w:szCs w:val="28"/>
          <w:lang w:val="uk-UA"/>
        </w:rPr>
        <w:t xml:space="preserve"> забезпеч</w:t>
      </w:r>
      <w:r>
        <w:rPr>
          <w:rFonts w:ascii="Times New Roman" w:hAnsi="Times New Roman"/>
          <w:sz w:val="28"/>
          <w:szCs w:val="28"/>
          <w:lang w:val="uk-UA"/>
        </w:rPr>
        <w:t>ення функціонування  інклюзивно-ресурсного центру</w:t>
      </w:r>
      <w:r w:rsidRPr="0034356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34356E">
        <w:rPr>
          <w:rFonts w:ascii="Times New Roman" w:hAnsi="Times New Roman"/>
          <w:sz w:val="28"/>
          <w:szCs w:val="28"/>
          <w:lang w:val="uk-UA"/>
        </w:rPr>
        <w:t>забезпечення доступності мистецької і позашкільної освіти та інтегрування її в європейський простір;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Pr="0034356E">
        <w:rPr>
          <w:rFonts w:ascii="Times New Roman" w:hAnsi="Times New Roman"/>
          <w:sz w:val="28"/>
          <w:szCs w:val="28"/>
          <w:lang w:val="uk-UA"/>
        </w:rPr>
        <w:t xml:space="preserve"> запровадження національної системи </w:t>
      </w:r>
      <w:r w:rsidRPr="00FC1BE7">
        <w:rPr>
          <w:rFonts w:ascii="Times New Roman" w:hAnsi="Times New Roman"/>
          <w:sz w:val="28"/>
          <w:szCs w:val="28"/>
          <w:lang w:val="uk-UA"/>
        </w:rPr>
        <w:t>оцінювання якості освіти.</w:t>
      </w:r>
      <w:r w:rsidRPr="003435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43359">
        <w:rPr>
          <w:rFonts w:ascii="Times New Roman" w:hAnsi="Times New Roman"/>
          <w:sz w:val="28"/>
          <w:szCs w:val="28"/>
          <w:lang w:val="uk-UA"/>
        </w:rPr>
        <w:t>Основні результати, яких планується досягти: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443359">
        <w:rPr>
          <w:rFonts w:ascii="Times New Roman" w:hAnsi="Times New Roman"/>
          <w:sz w:val="28"/>
          <w:szCs w:val="28"/>
          <w:lang w:val="uk-UA"/>
        </w:rPr>
        <w:t>створення нового освітнього середовища, яке відповідає вимогам сьогодення;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443359">
        <w:rPr>
          <w:rFonts w:ascii="Times New Roman" w:hAnsi="Times New Roman"/>
          <w:sz w:val="28"/>
          <w:szCs w:val="28"/>
          <w:lang w:val="uk-UA"/>
        </w:rPr>
        <w:t>забезпечення доступної дошкільної, загальної середньої та позашкільної освіти з урахуванням демографічних та економічних реалій;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Pr="00443359">
        <w:rPr>
          <w:rFonts w:ascii="Times New Roman" w:hAnsi="Times New Roman"/>
          <w:sz w:val="28"/>
          <w:szCs w:val="28"/>
          <w:lang w:val="uk-UA"/>
        </w:rPr>
        <w:t xml:space="preserve"> сприяння підвищенню мотивації учнів до навчання, а вчителів - до професійного розвитку;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Pr="00443359">
        <w:rPr>
          <w:rFonts w:ascii="Times New Roman" w:hAnsi="Times New Roman"/>
          <w:sz w:val="28"/>
          <w:szCs w:val="28"/>
          <w:lang w:val="uk-UA"/>
        </w:rPr>
        <w:t xml:space="preserve"> 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можливостей.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433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43359">
        <w:rPr>
          <w:rFonts w:ascii="Times New Roman" w:hAnsi="Times New Roman"/>
          <w:sz w:val="28"/>
          <w:szCs w:val="28"/>
          <w:lang w:val="uk-UA"/>
        </w:rPr>
        <w:t>Реалізація освітніх послуг буде здійснюватися через існуючу мережу о</w:t>
      </w:r>
      <w:r>
        <w:rPr>
          <w:rFonts w:ascii="Times New Roman" w:hAnsi="Times New Roman"/>
          <w:sz w:val="28"/>
          <w:szCs w:val="28"/>
          <w:lang w:val="uk-UA"/>
        </w:rPr>
        <w:t>світніх закладів, яка включає 8 закладів дошкільної освіти, 10</w:t>
      </w:r>
      <w:r w:rsidRPr="00443359">
        <w:rPr>
          <w:rFonts w:ascii="Times New Roman" w:hAnsi="Times New Roman"/>
          <w:sz w:val="28"/>
          <w:szCs w:val="28"/>
          <w:lang w:val="uk-UA"/>
        </w:rPr>
        <w:t xml:space="preserve"> установ загальної с</w:t>
      </w:r>
      <w:r>
        <w:rPr>
          <w:rFonts w:ascii="Times New Roman" w:hAnsi="Times New Roman"/>
          <w:sz w:val="28"/>
          <w:szCs w:val="28"/>
          <w:lang w:val="uk-UA"/>
        </w:rPr>
        <w:t>ередньої освіти, 1</w:t>
      </w:r>
      <w:r w:rsidRPr="004433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установа позашкільної освіти та 2 школи </w:t>
      </w:r>
      <w:r w:rsidRPr="00443359">
        <w:rPr>
          <w:rFonts w:ascii="Times New Roman" w:hAnsi="Times New Roman"/>
          <w:sz w:val="28"/>
          <w:szCs w:val="28"/>
          <w:lang w:val="uk-UA"/>
        </w:rPr>
        <w:t>естетичного виховання.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Pr="0039641B">
        <w:rPr>
          <w:rFonts w:ascii="Times New Roman" w:hAnsi="Times New Roman"/>
          <w:b/>
          <w:sz w:val="28"/>
          <w:szCs w:val="28"/>
          <w:lang w:val="uk-UA"/>
        </w:rPr>
        <w:t xml:space="preserve">Охорона здоров’я </w:t>
      </w:r>
      <w:r w:rsidRPr="0044335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4433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77B7">
        <w:rPr>
          <w:rFonts w:ascii="Times New Roman" w:hAnsi="Times New Roman"/>
          <w:sz w:val="28"/>
          <w:szCs w:val="28"/>
          <w:lang w:val="uk-UA"/>
        </w:rPr>
        <w:t xml:space="preserve">Цілі державної політики у сфері охорони здоров’я направлені на </w:t>
      </w:r>
      <w:r>
        <w:rPr>
          <w:rFonts w:ascii="Times New Roman" w:hAnsi="Times New Roman"/>
          <w:sz w:val="28"/>
          <w:szCs w:val="28"/>
          <w:lang w:val="uk-UA"/>
        </w:rPr>
        <w:t>підвищення якості та ефективності надання медичної допомоги населенню, збереження здоров’я населення шляхом забезпечення його потреб у доступній та якісній медичній допомозі.</w:t>
      </w:r>
      <w:r w:rsidRPr="00B377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B377B7">
        <w:rPr>
          <w:rFonts w:ascii="Times New Roman" w:hAnsi="Times New Roman"/>
          <w:sz w:val="28"/>
          <w:szCs w:val="28"/>
          <w:lang w:val="uk-UA"/>
        </w:rPr>
        <w:t>Граничний обсяг видатків головним розпорядником бюджетних коштів направлено на реалізацію наступних бюджетних програм: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</w:t>
      </w:r>
      <w:r w:rsidRPr="00B377B7">
        <w:rPr>
          <w:rFonts w:ascii="Times New Roman" w:hAnsi="Times New Roman"/>
          <w:sz w:val="28"/>
          <w:szCs w:val="28"/>
          <w:lang w:val="uk-UA"/>
        </w:rPr>
        <w:t xml:space="preserve">КПКВ 2010 «Багатопрофільна стаціонарна медична </w:t>
      </w:r>
      <w:r>
        <w:rPr>
          <w:rFonts w:ascii="Times New Roman" w:hAnsi="Times New Roman"/>
          <w:sz w:val="28"/>
          <w:szCs w:val="28"/>
          <w:lang w:val="uk-UA"/>
        </w:rPr>
        <w:t xml:space="preserve">допомога населенню» – реалізує 1 лікарня </w:t>
      </w:r>
      <w:r w:rsidRPr="00B377B7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КПКВ 2111 «Первинна медична допомога населенню, що надається центрами первинної медичної (медико-санітарної) допомоги» – реалізує 1 центр</w:t>
      </w:r>
      <w:r w:rsidRPr="00B377B7">
        <w:rPr>
          <w:rFonts w:ascii="Times New Roman" w:hAnsi="Times New Roman"/>
          <w:sz w:val="28"/>
          <w:szCs w:val="28"/>
          <w:lang w:val="uk-UA"/>
        </w:rPr>
        <w:t xml:space="preserve"> первинної медико-санітарної допомоги та</w:t>
      </w:r>
      <w:r>
        <w:rPr>
          <w:rFonts w:ascii="Times New Roman" w:hAnsi="Times New Roman"/>
          <w:sz w:val="28"/>
          <w:szCs w:val="28"/>
          <w:lang w:val="uk-UA"/>
        </w:rPr>
        <w:t xml:space="preserve"> 5 амбулаторій</w:t>
      </w:r>
      <w:r w:rsidRPr="00B377B7">
        <w:rPr>
          <w:rFonts w:ascii="Times New Roman" w:hAnsi="Times New Roman"/>
          <w:sz w:val="28"/>
          <w:szCs w:val="28"/>
          <w:lang w:val="uk-UA"/>
        </w:rPr>
        <w:t xml:space="preserve"> загал</w:t>
      </w:r>
      <w:r>
        <w:rPr>
          <w:rFonts w:ascii="Times New Roman" w:hAnsi="Times New Roman"/>
          <w:sz w:val="28"/>
          <w:szCs w:val="28"/>
          <w:lang w:val="uk-UA"/>
        </w:rPr>
        <w:t xml:space="preserve">ьної практики сімейної медицини, 9 фельдшерсько-акушерських пунктів, 5 медичних пунктів тимчасового базування.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377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Основні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85D">
        <w:rPr>
          <w:rFonts w:ascii="Times New Roman" w:hAnsi="Times New Roman"/>
          <w:sz w:val="28"/>
          <w:szCs w:val="28"/>
        </w:rPr>
        <w:t>яких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планується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досягти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651ADB">
        <w:rPr>
          <w:rFonts w:ascii="Times New Roman" w:hAnsi="Times New Roman"/>
          <w:sz w:val="28"/>
          <w:szCs w:val="28"/>
          <w:lang w:val="uk-UA"/>
        </w:rPr>
        <w:t xml:space="preserve">підвищення рівня медичного обслуговування населення;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651ADB">
        <w:rPr>
          <w:rFonts w:ascii="Times New Roman" w:hAnsi="Times New Roman"/>
          <w:sz w:val="28"/>
          <w:szCs w:val="28"/>
          <w:lang w:val="uk-UA"/>
        </w:rPr>
        <w:t>запровадження нових підходів до організації роботи закладів охорони здоров’я та їх фінансового забезпечення;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-</w:t>
      </w:r>
      <w:r w:rsidRPr="00651ADB">
        <w:rPr>
          <w:rFonts w:ascii="Times New Roman" w:hAnsi="Times New Roman"/>
          <w:sz w:val="28"/>
          <w:szCs w:val="28"/>
          <w:lang w:val="uk-UA"/>
        </w:rPr>
        <w:t xml:space="preserve"> подальший розвиток системи медичного обслуговування населення та реформування системи охорони здоров’я;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Pr="00651ADB">
        <w:rPr>
          <w:rFonts w:ascii="Times New Roman" w:hAnsi="Times New Roman"/>
          <w:sz w:val="28"/>
          <w:szCs w:val="28"/>
          <w:lang w:val="uk-UA"/>
        </w:rPr>
        <w:t xml:space="preserve"> зниження рівнів загальної захворюваності населення.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651ADB">
        <w:rPr>
          <w:rFonts w:ascii="Times New Roman" w:hAnsi="Times New Roman"/>
          <w:b/>
          <w:sz w:val="28"/>
          <w:szCs w:val="28"/>
          <w:lang w:val="uk-UA"/>
        </w:rPr>
        <w:t>Соціальний захист та соціальне забезпечення</w:t>
      </w:r>
      <w:r w:rsidRPr="00651A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51ADB">
        <w:rPr>
          <w:rFonts w:ascii="Times New Roman" w:hAnsi="Times New Roman"/>
          <w:sz w:val="28"/>
          <w:szCs w:val="28"/>
          <w:lang w:val="uk-UA"/>
        </w:rPr>
        <w:t xml:space="preserve">Основними цілями реалізації державної політики у сфері соціального захисту та соціального забезпечення на 2022-2024 роки є посилення адресної соціальної підтримки для підвищення ефективності використання бюджетних коштів та їх спрямування соціально вразливим верствам населення. </w:t>
      </w:r>
      <w:r w:rsidRPr="00F675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67563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 рахунок коштів бюджету Млинівської</w:t>
      </w:r>
      <w:r w:rsidRPr="00F67563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у середньостроковому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періоді планується утримувати 3 установ </w:t>
      </w:r>
      <w:r w:rsidRPr="00F67563">
        <w:rPr>
          <w:rFonts w:ascii="Times New Roman" w:hAnsi="Times New Roman"/>
          <w:sz w:val="28"/>
          <w:szCs w:val="28"/>
          <w:lang w:val="uk-UA"/>
        </w:rPr>
        <w:t xml:space="preserve"> соц</w:t>
      </w:r>
      <w:r>
        <w:rPr>
          <w:rFonts w:ascii="Times New Roman" w:hAnsi="Times New Roman"/>
          <w:sz w:val="28"/>
          <w:szCs w:val="28"/>
          <w:lang w:val="uk-UA"/>
        </w:rPr>
        <w:t>іального захисту (</w:t>
      </w:r>
      <w:r w:rsidRPr="00F675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центр з надання соціальних послуг </w:t>
      </w:r>
      <w:r w:rsidRPr="00F67563">
        <w:rPr>
          <w:rFonts w:ascii="Times New Roman" w:hAnsi="Times New Roman"/>
          <w:sz w:val="28"/>
          <w:szCs w:val="28"/>
          <w:lang w:val="uk-UA"/>
        </w:rPr>
        <w:t>, цент</w:t>
      </w:r>
      <w:r>
        <w:rPr>
          <w:rFonts w:ascii="Times New Roman" w:hAnsi="Times New Roman"/>
          <w:sz w:val="28"/>
          <w:szCs w:val="28"/>
          <w:lang w:val="uk-UA"/>
        </w:rPr>
        <w:t>р соціальних служб, трудовий архів</w:t>
      </w:r>
      <w:r w:rsidRPr="00F67563"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675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Крім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того, на 2022 – 2024 роки </w:t>
      </w:r>
      <w:proofErr w:type="spellStart"/>
      <w:r w:rsidRPr="009C285D">
        <w:rPr>
          <w:rFonts w:ascii="Times New Roman" w:hAnsi="Times New Roman"/>
          <w:sz w:val="28"/>
          <w:szCs w:val="28"/>
        </w:rPr>
        <w:t>планують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реалізацію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регіональних </w:t>
      </w:r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програм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285D">
        <w:rPr>
          <w:rFonts w:ascii="Times New Roman" w:hAnsi="Times New Roman"/>
          <w:sz w:val="28"/>
          <w:szCs w:val="28"/>
        </w:rPr>
        <w:t>соц</w:t>
      </w:r>
      <w:proofErr w:type="gramEnd"/>
      <w:r w:rsidRPr="009C285D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285D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окремих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населен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E4138">
        <w:rPr>
          <w:rFonts w:ascii="Times New Roman" w:hAnsi="Times New Roman"/>
          <w:sz w:val="28"/>
          <w:szCs w:val="28"/>
          <w:lang w:val="uk-UA"/>
        </w:rPr>
        <w:t>Завданнями на 2022-2024 роки є: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Pr="00DE4138">
        <w:rPr>
          <w:rFonts w:ascii="Times New Roman" w:hAnsi="Times New Roman"/>
          <w:sz w:val="28"/>
          <w:szCs w:val="28"/>
          <w:lang w:val="uk-UA"/>
        </w:rPr>
        <w:t xml:space="preserve"> забезпечення максимальної адресності та наближеності надання відповідної соціальної підтримки тим, хто її потребує;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Pr="00DE4138">
        <w:rPr>
          <w:rFonts w:ascii="Times New Roman" w:hAnsi="Times New Roman"/>
          <w:sz w:val="28"/>
          <w:szCs w:val="28"/>
          <w:lang w:val="uk-UA"/>
        </w:rPr>
        <w:t xml:space="preserve"> прозорість та доступність в отриманні соціальної підтримки;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DE4138">
        <w:rPr>
          <w:rFonts w:ascii="Times New Roman" w:hAnsi="Times New Roman"/>
          <w:sz w:val="28"/>
          <w:szCs w:val="28"/>
          <w:lang w:val="uk-UA"/>
        </w:rPr>
        <w:t xml:space="preserve"> забезпечення захисту прав дитини, у тому числі шляхом розвитку сімейних та інших форм виховання д</w:t>
      </w:r>
      <w:r>
        <w:rPr>
          <w:rFonts w:ascii="Times New Roman" w:hAnsi="Times New Roman"/>
          <w:sz w:val="28"/>
          <w:szCs w:val="28"/>
          <w:lang w:val="uk-UA"/>
        </w:rPr>
        <w:t xml:space="preserve">ітей, наближених до сімейних, </w:t>
      </w:r>
      <w:r w:rsidRPr="00DE4138">
        <w:rPr>
          <w:rFonts w:ascii="Times New Roman" w:hAnsi="Times New Roman"/>
          <w:sz w:val="28"/>
          <w:szCs w:val="28"/>
          <w:lang w:val="uk-UA"/>
        </w:rPr>
        <w:t xml:space="preserve"> забезпечення житлом дітей-сиріт, дітей, позбавлених батьківського піклування, осіб з їх числа;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DE4138">
        <w:rPr>
          <w:rFonts w:ascii="Times New Roman" w:hAnsi="Times New Roman"/>
          <w:sz w:val="28"/>
          <w:szCs w:val="28"/>
          <w:lang w:val="uk-UA"/>
        </w:rPr>
        <w:t>удосконалення механізму запобігання та протидії домашньому насильству та насильству за ознакою статі в умовах децентралізації з урахуванням міжнародних стандартів.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E4138">
        <w:rPr>
          <w:rFonts w:ascii="Times New Roman" w:hAnsi="Times New Roman"/>
          <w:sz w:val="28"/>
          <w:szCs w:val="28"/>
          <w:lang w:val="uk-UA"/>
        </w:rPr>
        <w:t xml:space="preserve"> Основні результати, яких планується досягти: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Pr="00DE4138">
        <w:rPr>
          <w:rFonts w:ascii="Times New Roman" w:hAnsi="Times New Roman"/>
          <w:sz w:val="28"/>
          <w:szCs w:val="28"/>
          <w:lang w:val="uk-UA"/>
        </w:rPr>
        <w:t xml:space="preserve"> адаптація системи надання соціальних послуг до нових вимог законодавства, спрощення порядку надання соціальних послуг, впровадження нових, сучасних комп’ютерних та Інтернет технологій;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</w:t>
      </w:r>
      <w:r w:rsidRPr="00DE4138">
        <w:rPr>
          <w:rFonts w:ascii="Times New Roman" w:hAnsi="Times New Roman"/>
          <w:sz w:val="28"/>
          <w:szCs w:val="28"/>
          <w:lang w:val="uk-UA"/>
        </w:rPr>
        <w:t xml:space="preserve">охоплення соціальним захистом максимальної кількості сімей та малозабезпечених громадян, які потребують підтримки місцевої влади;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 </w:t>
      </w:r>
      <w:r w:rsidRPr="00DE4138">
        <w:rPr>
          <w:rFonts w:ascii="Times New Roman" w:hAnsi="Times New Roman"/>
          <w:sz w:val="28"/>
          <w:szCs w:val="28"/>
          <w:lang w:val="uk-UA"/>
        </w:rPr>
        <w:t>покращення соціального діалогу між грома</w:t>
      </w:r>
      <w:r>
        <w:rPr>
          <w:rFonts w:ascii="Times New Roman" w:hAnsi="Times New Roman"/>
          <w:sz w:val="28"/>
          <w:szCs w:val="28"/>
          <w:lang w:val="uk-UA"/>
        </w:rPr>
        <w:t xml:space="preserve">дськими організаціями та владою.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7E6F" w:rsidRPr="00DE4138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20340B">
        <w:rPr>
          <w:rFonts w:ascii="Times New Roman" w:hAnsi="Times New Roman"/>
          <w:b/>
          <w:sz w:val="28"/>
          <w:szCs w:val="28"/>
          <w:lang w:val="uk-UA"/>
        </w:rPr>
        <w:t>Культура і</w:t>
      </w:r>
      <w:r w:rsidRPr="00DE4138">
        <w:rPr>
          <w:rFonts w:ascii="Times New Roman" w:hAnsi="Times New Roman"/>
          <w:b/>
          <w:sz w:val="28"/>
          <w:szCs w:val="28"/>
          <w:lang w:val="uk-UA"/>
        </w:rPr>
        <w:t xml:space="preserve"> туризм      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DE4138">
        <w:rPr>
          <w:rFonts w:ascii="Times New Roman" w:hAnsi="Times New Roman"/>
          <w:sz w:val="28"/>
          <w:szCs w:val="28"/>
          <w:lang w:val="uk-UA"/>
        </w:rPr>
        <w:t xml:space="preserve"> Цілями державної політики у сфері культури і </w:t>
      </w:r>
      <w:r>
        <w:rPr>
          <w:rFonts w:ascii="Times New Roman" w:hAnsi="Times New Roman"/>
          <w:sz w:val="28"/>
          <w:szCs w:val="28"/>
          <w:lang w:val="uk-UA"/>
        </w:rPr>
        <w:t>туризму,</w:t>
      </w:r>
      <w:r w:rsidRPr="00DE4138">
        <w:rPr>
          <w:rFonts w:ascii="Times New Roman" w:hAnsi="Times New Roman"/>
          <w:sz w:val="28"/>
          <w:szCs w:val="28"/>
          <w:lang w:val="uk-UA"/>
        </w:rPr>
        <w:t xml:space="preserve"> є відродження та духовний розвиток традицій і культури української нації. </w:t>
      </w:r>
      <w:r w:rsidRPr="00AE5F87">
        <w:rPr>
          <w:rFonts w:ascii="Times New Roman" w:hAnsi="Times New Roman"/>
          <w:sz w:val="28"/>
          <w:szCs w:val="28"/>
          <w:lang w:val="uk-UA"/>
        </w:rPr>
        <w:t>Прогнозні граничні показники бюджету територіальної громади головним розпорядником бюджетних коштів розподілені на реалізацію наступних бюджетних програм, а саме: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</w:t>
      </w:r>
      <w:r w:rsidRPr="00AE5F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5F87">
        <w:rPr>
          <w:rFonts w:ascii="Times New Roman" w:hAnsi="Times New Roman"/>
          <w:sz w:val="28"/>
          <w:szCs w:val="28"/>
          <w:lang w:val="uk-UA"/>
        </w:rPr>
        <w:t>КПКВ 4030 «Забезпечення діяль</w:t>
      </w:r>
      <w:r>
        <w:rPr>
          <w:rFonts w:ascii="Times New Roman" w:hAnsi="Times New Roman"/>
          <w:sz w:val="28"/>
          <w:szCs w:val="28"/>
          <w:lang w:val="uk-UA"/>
        </w:rPr>
        <w:t>ності бібліотек»</w:t>
      </w:r>
      <w:r w:rsidRPr="00AE5F87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- </w:t>
      </w:r>
      <w:r w:rsidRPr="00AE5F87">
        <w:rPr>
          <w:rFonts w:ascii="Times New Roman" w:hAnsi="Times New Roman"/>
          <w:sz w:val="28"/>
          <w:szCs w:val="28"/>
          <w:lang w:val="uk-UA"/>
        </w:rPr>
        <w:t xml:space="preserve"> КПКВ 4040 «За</w:t>
      </w:r>
      <w:r>
        <w:rPr>
          <w:rFonts w:ascii="Times New Roman" w:hAnsi="Times New Roman"/>
          <w:sz w:val="28"/>
          <w:szCs w:val="28"/>
          <w:lang w:val="uk-UA"/>
        </w:rPr>
        <w:t>безпечення діяльності музеїв і виставок</w:t>
      </w:r>
      <w:r w:rsidRPr="00AE5F87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КПКВ </w:t>
      </w:r>
      <w:r w:rsidRPr="00AE5F87">
        <w:rPr>
          <w:rFonts w:ascii="Times New Roman" w:hAnsi="Times New Roman"/>
          <w:sz w:val="28"/>
          <w:szCs w:val="28"/>
          <w:lang w:val="uk-UA"/>
        </w:rPr>
        <w:t>4060 «Забезпечення діяльності палаців і будинків культури, клубів, центрів дозвілля та інших клубних закла</w:t>
      </w:r>
      <w:r>
        <w:rPr>
          <w:rFonts w:ascii="Times New Roman" w:hAnsi="Times New Roman"/>
          <w:sz w:val="28"/>
          <w:szCs w:val="28"/>
          <w:lang w:val="uk-UA"/>
        </w:rPr>
        <w:t xml:space="preserve">дів»,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</w:t>
      </w:r>
      <w:r w:rsidRPr="00AE5F87">
        <w:rPr>
          <w:rFonts w:ascii="Times New Roman" w:hAnsi="Times New Roman"/>
          <w:sz w:val="28"/>
          <w:szCs w:val="28"/>
          <w:lang w:val="uk-UA"/>
        </w:rPr>
        <w:t xml:space="preserve"> КПКВ 4082 «Інші заходи в галузі культури і мистецтва» на проведення культурно-мистецьких заходів державного та місцевого значення.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E5F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2022-2024 </w:t>
      </w:r>
      <w:proofErr w:type="spellStart"/>
      <w:r w:rsidRPr="009C285D">
        <w:rPr>
          <w:rFonts w:ascii="Times New Roman" w:hAnsi="Times New Roman"/>
          <w:sz w:val="28"/>
          <w:szCs w:val="28"/>
        </w:rPr>
        <w:t>років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планується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досягти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результаті</w:t>
      </w:r>
      <w:proofErr w:type="gramStart"/>
      <w:r w:rsidRPr="009C285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C285D">
        <w:rPr>
          <w:rFonts w:ascii="Times New Roman" w:hAnsi="Times New Roman"/>
          <w:sz w:val="28"/>
          <w:szCs w:val="28"/>
        </w:rPr>
        <w:t xml:space="preserve">: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</w:t>
      </w:r>
      <w:proofErr w:type="spellStart"/>
      <w:r w:rsidRPr="009C285D">
        <w:rPr>
          <w:rFonts w:ascii="Times New Roman" w:hAnsi="Times New Roman"/>
          <w:sz w:val="28"/>
          <w:szCs w:val="28"/>
        </w:rPr>
        <w:t>запровадження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системи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щодо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послуг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9C285D">
        <w:rPr>
          <w:rFonts w:ascii="Times New Roman" w:hAnsi="Times New Roman"/>
          <w:sz w:val="28"/>
          <w:szCs w:val="28"/>
        </w:rPr>
        <w:t>;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</w:t>
      </w:r>
      <w:proofErr w:type="spellStart"/>
      <w:r w:rsidRPr="009C285D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туристичного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потоку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туризму на одну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буткових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галузей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0F1110">
        <w:rPr>
          <w:rFonts w:ascii="Times New Roman" w:hAnsi="Times New Roman"/>
          <w:b/>
          <w:sz w:val="28"/>
          <w:szCs w:val="28"/>
          <w:lang w:val="uk-UA"/>
        </w:rPr>
        <w:t xml:space="preserve">Фізична культура та спорт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0F11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1110">
        <w:rPr>
          <w:rFonts w:ascii="Times New Roman" w:hAnsi="Times New Roman"/>
          <w:sz w:val="28"/>
          <w:szCs w:val="28"/>
          <w:lang w:val="uk-UA"/>
        </w:rPr>
        <w:t>Цілями державної політики у сфері фізичної кул</w:t>
      </w:r>
      <w:r>
        <w:rPr>
          <w:rFonts w:ascii="Times New Roman" w:hAnsi="Times New Roman"/>
          <w:sz w:val="28"/>
          <w:szCs w:val="28"/>
          <w:lang w:val="uk-UA"/>
        </w:rPr>
        <w:t xml:space="preserve">ьтури та спорту, 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гарм</w:t>
      </w:r>
      <w:proofErr w:type="spellEnd"/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онійний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розвиток особистості, розвиток їх здібностей в обраному виді спорту.                       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217D8">
        <w:rPr>
          <w:rFonts w:ascii="Times New Roman" w:hAnsi="Times New Roman"/>
          <w:sz w:val="28"/>
          <w:szCs w:val="28"/>
          <w:lang w:val="uk-UA"/>
        </w:rPr>
        <w:t>Прогнозні</w:t>
      </w:r>
      <w:r w:rsidRPr="00EC7458">
        <w:rPr>
          <w:rFonts w:ascii="Times New Roman" w:hAnsi="Times New Roman"/>
          <w:sz w:val="28"/>
          <w:szCs w:val="28"/>
          <w:lang w:val="uk-UA"/>
        </w:rPr>
        <w:t xml:space="preserve"> граничні показники видатків головним розпорядником коштів направлені на КПКВ 5031 «Утримання та навчально-тренувальна робота комунальних дитячо-юнацьких спор</w:t>
      </w:r>
      <w:r>
        <w:rPr>
          <w:rFonts w:ascii="Times New Roman" w:hAnsi="Times New Roman"/>
          <w:sz w:val="28"/>
          <w:szCs w:val="28"/>
          <w:lang w:val="uk-UA"/>
        </w:rPr>
        <w:t xml:space="preserve">тивних шкіл» на фінансування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дитячоюнацької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спортивної шко</w:t>
      </w:r>
      <w:r w:rsidRPr="00EC7458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и громади</w:t>
      </w:r>
      <w:r w:rsidRPr="00EC7458">
        <w:rPr>
          <w:rFonts w:ascii="Times New Roman" w:hAnsi="Times New Roman"/>
          <w:sz w:val="28"/>
          <w:szCs w:val="28"/>
          <w:lang w:val="uk-UA"/>
        </w:rPr>
        <w:t xml:space="preserve"> та на проведення навчально-тренувальних зборів і змагань за </w:t>
      </w:r>
      <w:r>
        <w:rPr>
          <w:rFonts w:ascii="Times New Roman" w:hAnsi="Times New Roman"/>
          <w:sz w:val="28"/>
          <w:szCs w:val="28"/>
          <w:lang w:val="uk-UA"/>
        </w:rPr>
        <w:t xml:space="preserve">КПКВ 5041 «Утримання та фінансова підтримка спортивних споруд» на фінансування стадіону, за КПКВ 5061 «Забезпечення діяльності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місцевитх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центрів фізичного здоров’я населення «спорт для всіх та проведення фізкультурно-масових заходів серед населення регіону».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EC74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2022-2024 </w:t>
      </w:r>
      <w:proofErr w:type="spellStart"/>
      <w:r w:rsidRPr="009C285D">
        <w:rPr>
          <w:rFonts w:ascii="Times New Roman" w:hAnsi="Times New Roman"/>
          <w:sz w:val="28"/>
          <w:szCs w:val="28"/>
        </w:rPr>
        <w:t>років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планується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досягти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результаті</w:t>
      </w:r>
      <w:proofErr w:type="gramStart"/>
      <w:r w:rsidRPr="009C285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C285D">
        <w:rPr>
          <w:rFonts w:ascii="Times New Roman" w:hAnsi="Times New Roman"/>
          <w:sz w:val="28"/>
          <w:szCs w:val="28"/>
        </w:rPr>
        <w:t>: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-</w:t>
      </w:r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безпечних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9C285D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широких </w:t>
      </w:r>
      <w:proofErr w:type="spellStart"/>
      <w:r w:rsidRPr="009C285D">
        <w:rPr>
          <w:rFonts w:ascii="Times New Roman" w:hAnsi="Times New Roman"/>
          <w:sz w:val="28"/>
          <w:szCs w:val="28"/>
        </w:rPr>
        <w:t>верств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C285D">
        <w:rPr>
          <w:rFonts w:ascii="Times New Roman" w:hAnsi="Times New Roman"/>
          <w:sz w:val="28"/>
          <w:szCs w:val="28"/>
        </w:rPr>
        <w:t>масового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спорту;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- </w:t>
      </w:r>
      <w:proofErr w:type="spellStart"/>
      <w:r w:rsidRPr="009C285D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механізму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мережі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споруд</w:t>
      </w:r>
      <w:proofErr w:type="spellEnd"/>
      <w:r w:rsidRPr="009C285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-</w:t>
      </w:r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стимулів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для здорового способу </w:t>
      </w:r>
      <w:proofErr w:type="spellStart"/>
      <w:r w:rsidRPr="009C285D">
        <w:rPr>
          <w:rFonts w:ascii="Times New Roman" w:hAnsi="Times New Roman"/>
          <w:sz w:val="28"/>
          <w:szCs w:val="28"/>
        </w:rPr>
        <w:t>життя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й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здорових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9C285D">
        <w:rPr>
          <w:rFonts w:ascii="Times New Roman" w:hAnsi="Times New Roman"/>
          <w:sz w:val="28"/>
          <w:szCs w:val="28"/>
        </w:rPr>
        <w:t>праці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для занять </w:t>
      </w:r>
      <w:proofErr w:type="spellStart"/>
      <w:r w:rsidRPr="009C285D">
        <w:rPr>
          <w:rFonts w:ascii="Times New Roman" w:hAnsi="Times New Roman"/>
          <w:sz w:val="28"/>
          <w:szCs w:val="28"/>
        </w:rPr>
        <w:t>масовим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спортом та активного </w:t>
      </w:r>
      <w:proofErr w:type="spellStart"/>
      <w:r w:rsidRPr="009C285D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9C28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/>
          <w:b/>
          <w:sz w:val="28"/>
          <w:szCs w:val="28"/>
        </w:rPr>
        <w:t>Житлово-комунальне</w:t>
      </w:r>
      <w:proofErr w:type="spellEnd"/>
      <w:r w:rsidRPr="00B217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/>
          <w:b/>
          <w:sz w:val="28"/>
          <w:szCs w:val="28"/>
        </w:rPr>
        <w:t>господарство</w:t>
      </w:r>
      <w:proofErr w:type="spellEnd"/>
      <w:r w:rsidRPr="00B217D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883074">
        <w:rPr>
          <w:rFonts w:ascii="Times New Roman" w:hAnsi="Times New Roman"/>
          <w:sz w:val="28"/>
          <w:szCs w:val="28"/>
          <w:lang w:val="uk-UA"/>
        </w:rPr>
        <w:t>Пріоритетними завданнями житлово-комунального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господарства є підвищення якості житлово-комунальних послуг для всіх верств населення, розвиток благоустрою в населених пунктах громади. У 2022-2024 роках передбачається здійснити такі заходи: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- планується проведення ремонту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благоустрою громади, обслуговування та утримання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дорожнього господарства, ремонт, утримання мереж вуличного освітлення та виконання інших заходів з благоустрою.</w:t>
      </w:r>
    </w:p>
    <w:p w:rsidR="00357E6F" w:rsidRPr="00883074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Основними результатами, яких планується досягти, є: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217D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B217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065AC">
        <w:rPr>
          <w:rFonts w:ascii="Times New Roman" w:hAnsi="Times New Roman"/>
          <w:sz w:val="28"/>
          <w:szCs w:val="28"/>
          <w:lang w:val="uk-UA"/>
        </w:rPr>
        <w:t xml:space="preserve">ідвищення рівня </w:t>
      </w:r>
      <w:proofErr w:type="spellStart"/>
      <w:r w:rsidRPr="00F065AC">
        <w:rPr>
          <w:rFonts w:ascii="Times New Roman" w:hAnsi="Times New Roman"/>
          <w:sz w:val="28"/>
          <w:szCs w:val="28"/>
          <w:lang w:val="uk-UA"/>
        </w:rPr>
        <w:t>забезпеченності</w:t>
      </w:r>
      <w:proofErr w:type="spellEnd"/>
      <w:r w:rsidRPr="00F065AC">
        <w:rPr>
          <w:rFonts w:ascii="Times New Roman" w:hAnsi="Times New Roman"/>
          <w:sz w:val="28"/>
          <w:szCs w:val="28"/>
          <w:lang w:val="uk-UA"/>
        </w:rPr>
        <w:t xml:space="preserve"> населення комунальними послугами</w:t>
      </w:r>
      <w:r>
        <w:rPr>
          <w:rFonts w:ascii="Times New Roman" w:hAnsi="Times New Roman"/>
          <w:sz w:val="28"/>
          <w:szCs w:val="28"/>
          <w:lang w:val="uk-UA"/>
        </w:rPr>
        <w:t xml:space="preserve">, покращення рівня благоустрою населених пунктів. </w:t>
      </w:r>
    </w:p>
    <w:p w:rsidR="00357E6F" w:rsidRPr="00043686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043686">
        <w:rPr>
          <w:rFonts w:ascii="Times New Roman" w:hAnsi="Times New Roman"/>
          <w:b/>
          <w:sz w:val="28"/>
          <w:szCs w:val="28"/>
          <w:lang w:val="uk-UA"/>
        </w:rPr>
        <w:t>Державне управління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Метою діяльності є організаційне, інформаційно-аналітичне та матеріально-технічне забезпечення функціонування органів місцевого самоврядування, керівництво та управління виконавчими органами у відповідних сферах для ефективного представлення інтересів територіальної громади та здійснення від її імені та в її інтересах функцій і повноважень місцевого самоврядування, визначених Конституцією та законами України.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Пріорітетним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напрямком у сфері державного управління є надання виконавчими органами Млинівської селищної ради високоякісних і доступних адміністративних, соціальних та інших послуг населенню, налагодження ефективного діалогу та партнерських відносин виконавчих органів з організаціями громадського суспільства, забезпечення участі громадськості у реалізації регіональної політики та розв’язання питань місцевого значення.</w:t>
      </w:r>
    </w:p>
    <w:p w:rsidR="00357E6F" w:rsidRPr="00822728" w:rsidRDefault="00357E6F" w:rsidP="009110E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65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7D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B217D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Бюджет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357E6F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9C285D">
        <w:rPr>
          <w:rFonts w:ascii="Times New Roman" w:hAnsi="Times New Roman"/>
          <w:sz w:val="28"/>
          <w:szCs w:val="28"/>
        </w:rPr>
        <w:t>Обсяги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капітальних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вкладень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розрізі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інвестиційних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проєкті</w:t>
      </w:r>
      <w:proofErr w:type="gramStart"/>
      <w:r w:rsidRPr="009C285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85D">
        <w:rPr>
          <w:rFonts w:ascii="Times New Roman" w:hAnsi="Times New Roman"/>
          <w:sz w:val="28"/>
          <w:szCs w:val="28"/>
        </w:rPr>
        <w:t>та</w:t>
      </w:r>
      <w:proofErr w:type="gram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C285D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видами </w:t>
      </w:r>
      <w:proofErr w:type="spellStart"/>
      <w:r w:rsidRPr="009C285D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285D">
        <w:rPr>
          <w:rFonts w:ascii="Times New Roman" w:hAnsi="Times New Roman"/>
          <w:sz w:val="28"/>
          <w:szCs w:val="28"/>
        </w:rPr>
        <w:t>орієнтовними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обсягами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витрат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C285D">
        <w:rPr>
          <w:rFonts w:ascii="Times New Roman" w:hAnsi="Times New Roman"/>
          <w:sz w:val="28"/>
          <w:szCs w:val="28"/>
        </w:rPr>
        <w:t>середньостроковому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періоді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наведені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C285D">
        <w:rPr>
          <w:rFonts w:ascii="Times New Roman" w:hAnsi="Times New Roman"/>
          <w:sz w:val="28"/>
          <w:szCs w:val="28"/>
        </w:rPr>
        <w:t>додатках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10.  </w:t>
      </w:r>
      <w:proofErr w:type="spellStart"/>
      <w:r w:rsidRPr="009C285D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фінансовим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жерелом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капітальних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вкладень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C285D">
        <w:rPr>
          <w:rFonts w:ascii="Times New Roman" w:hAnsi="Times New Roman"/>
          <w:sz w:val="28"/>
          <w:szCs w:val="28"/>
        </w:rPr>
        <w:t xml:space="preserve"> у 2022 – 2024 роках </w:t>
      </w:r>
      <w:proofErr w:type="spellStart"/>
      <w:r w:rsidRPr="009C285D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передача </w:t>
      </w:r>
      <w:proofErr w:type="spellStart"/>
      <w:r w:rsidRPr="009C285D">
        <w:rPr>
          <w:rFonts w:ascii="Times New Roman" w:hAnsi="Times New Roman"/>
          <w:sz w:val="28"/>
          <w:szCs w:val="28"/>
        </w:rPr>
        <w:t>коштів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фонду </w:t>
      </w:r>
      <w:proofErr w:type="gramStart"/>
      <w:r w:rsidRPr="009C285D">
        <w:rPr>
          <w:rFonts w:ascii="Times New Roman" w:hAnsi="Times New Roman"/>
          <w:sz w:val="28"/>
          <w:szCs w:val="28"/>
        </w:rPr>
        <w:t>до</w:t>
      </w:r>
      <w:proofErr w:type="gramEnd"/>
      <w:r w:rsidRPr="009C285D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9C285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еціального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 бюджету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9C28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57E6F" w:rsidRPr="00EC7458" w:rsidRDefault="00357E6F" w:rsidP="009110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E21DAF">
        <w:rPr>
          <w:rFonts w:ascii="Times New Roman" w:hAnsi="Times New Roman"/>
          <w:b/>
          <w:sz w:val="28"/>
          <w:szCs w:val="28"/>
        </w:rPr>
        <w:t>VI</w:t>
      </w:r>
      <w:r w:rsidRPr="00E21DA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21DAF">
        <w:rPr>
          <w:rFonts w:ascii="Times New Roman" w:hAnsi="Times New Roman"/>
          <w:b/>
          <w:sz w:val="28"/>
          <w:szCs w:val="28"/>
        </w:rPr>
        <w:t>I</w:t>
      </w:r>
      <w:r w:rsidRPr="00E21DAF">
        <w:rPr>
          <w:rFonts w:ascii="Times New Roman" w:hAnsi="Times New Roman"/>
          <w:b/>
          <w:sz w:val="28"/>
          <w:szCs w:val="28"/>
          <w:lang w:val="uk-UA"/>
        </w:rPr>
        <w:t>. Взаємовідносини</w:t>
      </w:r>
      <w:r w:rsidRPr="00822728">
        <w:rPr>
          <w:rFonts w:ascii="Times New Roman" w:hAnsi="Times New Roman"/>
          <w:b/>
          <w:sz w:val="28"/>
          <w:szCs w:val="28"/>
          <w:lang w:val="uk-UA"/>
        </w:rPr>
        <w:t xml:space="preserve"> бюджету з іншими бюджетами                                                              </w:t>
      </w:r>
      <w:r w:rsidRPr="00822728">
        <w:rPr>
          <w:rFonts w:ascii="Times New Roman" w:hAnsi="Times New Roman"/>
          <w:sz w:val="28"/>
          <w:szCs w:val="28"/>
          <w:lang w:val="uk-UA"/>
        </w:rPr>
        <w:t>Обсяги міжбюджетних трансфертів з інших бюджетів для бюджету Млинівської селищної територіальної громади на 20</w:t>
      </w:r>
      <w:r>
        <w:rPr>
          <w:rFonts w:ascii="Times New Roman" w:hAnsi="Times New Roman"/>
          <w:sz w:val="28"/>
          <w:szCs w:val="28"/>
          <w:lang w:val="uk-UA"/>
        </w:rPr>
        <w:t xml:space="preserve">22-2024 роки </w:t>
      </w:r>
      <w:r w:rsidRPr="00822728">
        <w:rPr>
          <w:rFonts w:ascii="Times New Roman" w:hAnsi="Times New Roman"/>
          <w:sz w:val="28"/>
          <w:szCs w:val="28"/>
          <w:lang w:val="uk-UA"/>
        </w:rPr>
        <w:t xml:space="preserve"> та з бюджету терит</w:t>
      </w:r>
      <w:r>
        <w:rPr>
          <w:rFonts w:ascii="Times New Roman" w:hAnsi="Times New Roman"/>
          <w:sz w:val="28"/>
          <w:szCs w:val="28"/>
          <w:lang w:val="uk-UA"/>
        </w:rPr>
        <w:t>оріальної громади до інших бюджетів</w:t>
      </w:r>
      <w:r w:rsidRPr="00363CDD">
        <w:rPr>
          <w:rFonts w:ascii="Times New Roman" w:hAnsi="Times New Roman"/>
          <w:sz w:val="28"/>
          <w:szCs w:val="28"/>
          <w:lang w:val="uk-UA"/>
        </w:rPr>
        <w:t xml:space="preserve"> (додаток 11). </w:t>
      </w:r>
      <w:proofErr w:type="spellStart"/>
      <w:r w:rsidRPr="009C285D">
        <w:rPr>
          <w:rFonts w:ascii="Times New Roman" w:hAnsi="Times New Roman"/>
          <w:sz w:val="28"/>
          <w:szCs w:val="28"/>
        </w:rPr>
        <w:t>Міжбюджетні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трансферти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мають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цільове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C285D">
        <w:rPr>
          <w:rFonts w:ascii="Times New Roman" w:hAnsi="Times New Roman"/>
          <w:sz w:val="28"/>
          <w:szCs w:val="28"/>
        </w:rPr>
        <w:t>порядків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їх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285D">
        <w:rPr>
          <w:rFonts w:ascii="Times New Roman" w:hAnsi="Times New Roman"/>
          <w:sz w:val="28"/>
          <w:szCs w:val="28"/>
        </w:rPr>
        <w:t>Найбільшу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питому вагу у </w:t>
      </w:r>
      <w:proofErr w:type="spellStart"/>
      <w:r w:rsidRPr="009C285D">
        <w:rPr>
          <w:rFonts w:ascii="Times New Roman" w:hAnsi="Times New Roman"/>
          <w:sz w:val="28"/>
          <w:szCs w:val="28"/>
        </w:rPr>
        <w:t>обсязі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міжбюджетних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трансферті</w:t>
      </w:r>
      <w:proofErr w:type="gramStart"/>
      <w:r w:rsidRPr="009C285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займає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освітня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субвенція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державного бюджету. </w:t>
      </w:r>
      <w:proofErr w:type="spellStart"/>
      <w:r w:rsidRPr="009C285D">
        <w:rPr>
          <w:rFonts w:ascii="Times New Roman" w:hAnsi="Times New Roman"/>
          <w:sz w:val="28"/>
          <w:szCs w:val="28"/>
        </w:rPr>
        <w:t>Темпи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обсягів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85D">
        <w:rPr>
          <w:rFonts w:ascii="Times New Roman" w:hAnsi="Times New Roman"/>
          <w:sz w:val="28"/>
          <w:szCs w:val="28"/>
        </w:rPr>
        <w:t>з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державного бюджету </w:t>
      </w:r>
      <w:proofErr w:type="spellStart"/>
      <w:r w:rsidRPr="009C285D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9C285D">
        <w:rPr>
          <w:rFonts w:ascii="Times New Roman" w:hAnsi="Times New Roman"/>
          <w:sz w:val="28"/>
          <w:szCs w:val="28"/>
        </w:rPr>
        <w:t>р</w:t>
      </w:r>
      <w:proofErr w:type="gramEnd"/>
      <w:r w:rsidRPr="009C285D">
        <w:rPr>
          <w:rFonts w:ascii="Times New Roman" w:hAnsi="Times New Roman"/>
          <w:sz w:val="28"/>
          <w:szCs w:val="28"/>
        </w:rPr>
        <w:t>ік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 плану 2021 року – 109,1%, на 2023 </w:t>
      </w:r>
      <w:proofErr w:type="spellStart"/>
      <w:r w:rsidRPr="009C285D">
        <w:rPr>
          <w:rFonts w:ascii="Times New Roman" w:hAnsi="Times New Roman"/>
          <w:sz w:val="28"/>
          <w:szCs w:val="28"/>
        </w:rPr>
        <w:t>рік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C285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2022 року – 109,5 %, на 2024 </w:t>
      </w:r>
      <w:proofErr w:type="spellStart"/>
      <w:r w:rsidRPr="009C285D">
        <w:rPr>
          <w:rFonts w:ascii="Times New Roman" w:hAnsi="Times New Roman"/>
          <w:sz w:val="28"/>
          <w:szCs w:val="28"/>
        </w:rPr>
        <w:t>рік</w:t>
      </w:r>
      <w:proofErr w:type="spellEnd"/>
      <w:r w:rsidRPr="009C28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2023 року – 106,8 %. </w:t>
      </w:r>
    </w:p>
    <w:p w:rsidR="00357E6F" w:rsidRDefault="00357E6F" w:rsidP="009110E8">
      <w:pPr>
        <w:jc w:val="both"/>
        <w:rPr>
          <w:rFonts w:ascii="Times New Roman" w:hAnsi="Times New Roman"/>
          <w:sz w:val="28"/>
          <w:szCs w:val="28"/>
        </w:rPr>
      </w:pPr>
    </w:p>
    <w:p w:rsidR="00357E6F" w:rsidRDefault="00357E6F" w:rsidP="009A6DA5">
      <w:pPr>
        <w:rPr>
          <w:rFonts w:ascii="Times New Roman" w:hAnsi="Times New Roman"/>
          <w:sz w:val="28"/>
          <w:szCs w:val="28"/>
        </w:rPr>
      </w:pPr>
    </w:p>
    <w:p w:rsidR="00357E6F" w:rsidRPr="009A6DA5" w:rsidRDefault="00357E6F" w:rsidP="009A6DA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                            Людмила ГУСАК</w:t>
      </w:r>
    </w:p>
    <w:sectPr w:rsidR="00357E6F" w:rsidRPr="009A6DA5" w:rsidSect="003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BC" w:rsidRDefault="006241BC" w:rsidP="00304C41">
      <w:pPr>
        <w:spacing w:after="0" w:line="240" w:lineRule="auto"/>
      </w:pPr>
      <w:r>
        <w:separator/>
      </w:r>
    </w:p>
  </w:endnote>
  <w:endnote w:type="continuationSeparator" w:id="0">
    <w:p w:rsidR="006241BC" w:rsidRDefault="006241BC" w:rsidP="0030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BC" w:rsidRDefault="006241BC" w:rsidP="00304C41">
      <w:pPr>
        <w:spacing w:after="0" w:line="240" w:lineRule="auto"/>
      </w:pPr>
      <w:r>
        <w:separator/>
      </w:r>
    </w:p>
  </w:footnote>
  <w:footnote w:type="continuationSeparator" w:id="0">
    <w:p w:rsidR="006241BC" w:rsidRDefault="006241BC" w:rsidP="0030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0D0"/>
    <w:multiLevelType w:val="hybridMultilevel"/>
    <w:tmpl w:val="4CBE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BDF"/>
    <w:rsid w:val="0001426D"/>
    <w:rsid w:val="00043686"/>
    <w:rsid w:val="00081346"/>
    <w:rsid w:val="000D2630"/>
    <w:rsid w:val="000D4DF7"/>
    <w:rsid w:val="000E420D"/>
    <w:rsid w:val="000F1110"/>
    <w:rsid w:val="001360ED"/>
    <w:rsid w:val="00160293"/>
    <w:rsid w:val="001C71D6"/>
    <w:rsid w:val="001D6EC8"/>
    <w:rsid w:val="001E504B"/>
    <w:rsid w:val="0020340B"/>
    <w:rsid w:val="00263CFC"/>
    <w:rsid w:val="002B19C9"/>
    <w:rsid w:val="002C2D16"/>
    <w:rsid w:val="002C36BC"/>
    <w:rsid w:val="00304C41"/>
    <w:rsid w:val="0030723A"/>
    <w:rsid w:val="0032622C"/>
    <w:rsid w:val="0034356E"/>
    <w:rsid w:val="00344CDE"/>
    <w:rsid w:val="00350505"/>
    <w:rsid w:val="00354210"/>
    <w:rsid w:val="00357E6F"/>
    <w:rsid w:val="00363CDD"/>
    <w:rsid w:val="00390A27"/>
    <w:rsid w:val="0039641B"/>
    <w:rsid w:val="00397BBA"/>
    <w:rsid w:val="003E31DA"/>
    <w:rsid w:val="003E39E7"/>
    <w:rsid w:val="00407A30"/>
    <w:rsid w:val="00443359"/>
    <w:rsid w:val="004E0790"/>
    <w:rsid w:val="004E437D"/>
    <w:rsid w:val="0051440A"/>
    <w:rsid w:val="0052327C"/>
    <w:rsid w:val="00564CA5"/>
    <w:rsid w:val="0057590A"/>
    <w:rsid w:val="00582E5E"/>
    <w:rsid w:val="005E38BC"/>
    <w:rsid w:val="006241BC"/>
    <w:rsid w:val="00651ADB"/>
    <w:rsid w:val="0069211E"/>
    <w:rsid w:val="00694414"/>
    <w:rsid w:val="006A2A7A"/>
    <w:rsid w:val="006B5E27"/>
    <w:rsid w:val="006C6532"/>
    <w:rsid w:val="006F1526"/>
    <w:rsid w:val="007164FE"/>
    <w:rsid w:val="00735B07"/>
    <w:rsid w:val="007B7426"/>
    <w:rsid w:val="007C61EA"/>
    <w:rsid w:val="007D412D"/>
    <w:rsid w:val="007D5796"/>
    <w:rsid w:val="00822728"/>
    <w:rsid w:val="0083458A"/>
    <w:rsid w:val="0084441C"/>
    <w:rsid w:val="00867D68"/>
    <w:rsid w:val="00883074"/>
    <w:rsid w:val="008924FE"/>
    <w:rsid w:val="008B2CE8"/>
    <w:rsid w:val="00902230"/>
    <w:rsid w:val="009110E8"/>
    <w:rsid w:val="009346CF"/>
    <w:rsid w:val="00935127"/>
    <w:rsid w:val="00972127"/>
    <w:rsid w:val="009A6DA5"/>
    <w:rsid w:val="009C285D"/>
    <w:rsid w:val="009D7210"/>
    <w:rsid w:val="009F3EE3"/>
    <w:rsid w:val="00A11960"/>
    <w:rsid w:val="00A16581"/>
    <w:rsid w:val="00AD0A0D"/>
    <w:rsid w:val="00AD1918"/>
    <w:rsid w:val="00AE5F87"/>
    <w:rsid w:val="00AF3AE9"/>
    <w:rsid w:val="00B217D8"/>
    <w:rsid w:val="00B377B7"/>
    <w:rsid w:val="00B901A5"/>
    <w:rsid w:val="00BB70DB"/>
    <w:rsid w:val="00BC1B36"/>
    <w:rsid w:val="00C21E71"/>
    <w:rsid w:val="00C45177"/>
    <w:rsid w:val="00C64262"/>
    <w:rsid w:val="00C905C5"/>
    <w:rsid w:val="00C97EEE"/>
    <w:rsid w:val="00CD32A4"/>
    <w:rsid w:val="00CF46D8"/>
    <w:rsid w:val="00CF4F57"/>
    <w:rsid w:val="00D12C60"/>
    <w:rsid w:val="00D2555B"/>
    <w:rsid w:val="00DE4138"/>
    <w:rsid w:val="00DE7E24"/>
    <w:rsid w:val="00E1004D"/>
    <w:rsid w:val="00E21DAF"/>
    <w:rsid w:val="00E75CEB"/>
    <w:rsid w:val="00E84599"/>
    <w:rsid w:val="00EA6917"/>
    <w:rsid w:val="00EB3115"/>
    <w:rsid w:val="00EC7458"/>
    <w:rsid w:val="00F065AC"/>
    <w:rsid w:val="00F11192"/>
    <w:rsid w:val="00F42957"/>
    <w:rsid w:val="00F601DE"/>
    <w:rsid w:val="00F67563"/>
    <w:rsid w:val="00FB0E6E"/>
    <w:rsid w:val="00FB4299"/>
    <w:rsid w:val="00FB6BDF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DA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32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30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04C41"/>
    <w:rPr>
      <w:rFonts w:cs="Times New Roman"/>
    </w:rPr>
  </w:style>
  <w:style w:type="paragraph" w:styleId="a6">
    <w:name w:val="footer"/>
    <w:basedOn w:val="a"/>
    <w:link w:val="a7"/>
    <w:uiPriority w:val="99"/>
    <w:rsid w:val="0030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04C4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10</Pages>
  <Words>16791</Words>
  <Characters>9571</Characters>
  <Application>Microsoft Office Word</Application>
  <DocSecurity>0</DocSecurity>
  <Lines>79</Lines>
  <Paragraphs>52</Paragraphs>
  <ScaleCrop>false</ScaleCrop>
  <Company/>
  <LinksUpToDate>false</LinksUpToDate>
  <CharactersWithSpaces>26310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</cp:lastModifiedBy>
  <cp:revision>54</cp:revision>
  <cp:lastPrinted>2021-08-30T12:09:00Z</cp:lastPrinted>
  <dcterms:created xsi:type="dcterms:W3CDTF">2021-08-05T07:07:00Z</dcterms:created>
  <dcterms:modified xsi:type="dcterms:W3CDTF">2021-10-22T16:13:00Z</dcterms:modified>
</cp:coreProperties>
</file>