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927"/>
      </w:tblGrid>
      <w:tr w:rsidR="00644F1D" w:rsidRPr="00644F1D" w:rsidTr="00644F1D">
        <w:tc>
          <w:tcPr>
            <w:tcW w:w="5211" w:type="dxa"/>
          </w:tcPr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СХВАЛЕНО                                                                                 </w:t>
            </w: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Рішення  виконавчого комітету</w:t>
            </w: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селищної ради</w:t>
            </w: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44F1D" w:rsidRDefault="002F20D4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24.12.2024</w:t>
            </w:r>
            <w:r w:rsidR="00644F1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№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379</w:t>
            </w: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ЗАТВЕРДЖЕНО</w:t>
            </w: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Рішення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селищної ради</w:t>
            </w: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44F1D" w:rsidRDefault="00644F1D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________________ № _______</w:t>
            </w:r>
          </w:p>
        </w:tc>
      </w:tr>
    </w:tbl>
    <w:p w:rsidR="00644F1D" w:rsidRDefault="00644F1D" w:rsidP="00644F1D">
      <w:pPr>
        <w:keepNext/>
        <w:tabs>
          <w:tab w:val="left" w:pos="708"/>
        </w:tabs>
        <w:spacing w:after="0" w:line="240" w:lineRule="auto"/>
        <w:ind w:left="708"/>
        <w:outlineLvl w:val="2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</w:t>
      </w:r>
    </w:p>
    <w:p w:rsidR="00A50CF5" w:rsidRDefault="00A50CF5" w:rsidP="00253A84">
      <w:pPr>
        <w:keepNext/>
        <w:tabs>
          <w:tab w:val="left" w:pos="708"/>
        </w:tabs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</w:p>
    <w:p w:rsidR="00644F1D" w:rsidRDefault="00644F1D" w:rsidP="00253A84">
      <w:pPr>
        <w:keepNext/>
        <w:tabs>
          <w:tab w:val="left" w:pos="708"/>
        </w:tabs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Програма</w:t>
      </w:r>
    </w:p>
    <w:p w:rsidR="00644F1D" w:rsidRDefault="00644F1D" w:rsidP="00253A84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забезпечення всебічного розвитку і функціонування української мови як державної в усіх сферах суспільного життя в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Млинівській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селищній територіальній громаді на 2025-2026 роки</w:t>
      </w:r>
    </w:p>
    <w:p w:rsidR="00253A84" w:rsidRDefault="00253A84" w:rsidP="00644F1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4F1D" w:rsidRDefault="00644F1D" w:rsidP="00644F1D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2517"/>
        <w:gridCol w:w="6663"/>
      </w:tblGrid>
      <w:tr w:rsidR="00644F1D" w:rsidRPr="00253A84" w:rsidTr="00644F1D">
        <w:trPr>
          <w:trHeight w:val="8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схвалена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виконавчого комітету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 </w:t>
            </w:r>
          </w:p>
          <w:p w:rsidR="00644F1D" w:rsidRPr="00253A84" w:rsidRDefault="00550306" w:rsidP="00550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 грудня 2024 року № 379</w:t>
            </w:r>
          </w:p>
        </w:tc>
      </w:tr>
      <w:tr w:rsidR="00644F1D" w:rsidRPr="00253A84" w:rsidTr="00644F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освіти, культури, туризму, молоді та спорту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</w:t>
            </w:r>
          </w:p>
        </w:tc>
      </w:tr>
      <w:tr w:rsidR="00644F1D" w:rsidRPr="00253A84" w:rsidTr="00644F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 w:rsidP="00E00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освіти, культури, туризму, молоді та спорту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</w:t>
            </w:r>
          </w:p>
        </w:tc>
      </w:tr>
      <w:tr w:rsidR="00644F1D" w:rsidRPr="00253A84" w:rsidTr="00644F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 w:rsidP="00253A84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 </w:t>
            </w:r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області,</w:t>
            </w:r>
            <w:r w:rsidR="00AB55E5" w:rsidRPr="00253A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освіти, культури, туризму, молоді та спорту </w:t>
            </w:r>
            <w:proofErr w:type="spellStart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="00AB55E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області, </w:t>
            </w: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комунальна установа «Централізована бухгалтерія»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 </w:t>
            </w:r>
            <w:proofErr w:type="spellStart"/>
            <w:r w:rsidR="00A50CF5">
              <w:rPr>
                <w:rFonts w:ascii="Times New Roman" w:hAnsi="Times New Roman"/>
                <w:sz w:val="24"/>
                <w:szCs w:val="24"/>
                <w:lang w:val="uk-UA"/>
              </w:rPr>
              <w:t>Млинівський</w:t>
            </w:r>
            <w:proofErr w:type="spellEnd"/>
            <w:r w:rsidR="00A50C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центр позашкільної освіти </w:t>
            </w:r>
            <w:proofErr w:type="spellStart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області,</w:t>
            </w:r>
            <w:r w:rsidR="00A50C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заклади загальної середньої та дошкільної освіти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644F1D" w:rsidRPr="00253A84" w:rsidTr="00644F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253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 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області,</w:t>
            </w:r>
            <w:r w:rsidRPr="00253A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освіти, культури, туризму, молоді та спорту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області, комунальна установа «Централізована бухгалтерія»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 комунальний заклад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«Центральна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</w:rPr>
              <w:t>бібліотека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</w:rPr>
              <w:t>»</w:t>
            </w: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 комунальний заклад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</w:rPr>
              <w:t>Млинівський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</w:rPr>
              <w:t>дозвілля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</w:rPr>
              <w:t>»</w:t>
            </w: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</w:t>
            </w:r>
            <w:r w:rsidR="00A50C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50CF5">
              <w:rPr>
                <w:rFonts w:ascii="Times New Roman" w:hAnsi="Times New Roman"/>
                <w:sz w:val="24"/>
                <w:szCs w:val="24"/>
                <w:lang w:val="uk-UA"/>
              </w:rPr>
              <w:t>Млинівський</w:t>
            </w:r>
            <w:proofErr w:type="spellEnd"/>
            <w:r w:rsidR="00A50C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центр позашкільної освіти </w:t>
            </w:r>
            <w:proofErr w:type="spellStart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Дубенського</w:t>
            </w:r>
            <w:proofErr w:type="spellEnd"/>
            <w:r w:rsidR="00A50CF5"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області,</w:t>
            </w: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заклади загальної середньої та дошкільної освіти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644F1D" w:rsidRPr="00253A84" w:rsidTr="00644F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реалізації програми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 w:rsidP="00644F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2025-2026 роки</w:t>
            </w:r>
          </w:p>
        </w:tc>
      </w:tr>
      <w:tr w:rsidR="00644F1D" w:rsidRPr="00253A84" w:rsidTr="00644F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Перелік бюджетів, які беруть участь у виконанні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644F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253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та інші джерела фінансування незаборонені законодавством України</w:t>
            </w:r>
          </w:p>
        </w:tc>
      </w:tr>
      <w:tr w:rsidR="00644F1D" w:rsidRPr="00253A84" w:rsidTr="00644F1D">
        <w:trPr>
          <w:trHeight w:val="1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A50CF5" w:rsidRDefault="00644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0CF5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A50CF5" w:rsidRDefault="00644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0CF5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фінансових ресурсів</w:t>
            </w:r>
            <w:r w:rsidR="00524D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50C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необхідних для реалізації програм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1D" w:rsidRPr="00253A84" w:rsidRDefault="00A50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330 тис.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</w:tbl>
    <w:p w:rsidR="00644F1D" w:rsidRPr="00253A84" w:rsidRDefault="00644F1D" w:rsidP="00644F1D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44F1D" w:rsidRDefault="00644F1D" w:rsidP="00351F41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E005D7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Загальна характеристика</w:t>
      </w:r>
    </w:p>
    <w:p w:rsidR="00481460" w:rsidRDefault="00644F1D" w:rsidP="0073709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Програма забезпечення всебічного розвитку і функціонування української мови як державної в усіх сферах суспільного життя в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Млинівській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селищній територіальній громаді на 2025-2026 роки</w:t>
      </w:r>
      <w:r w:rsidR="006C3BDD">
        <w:rPr>
          <w:rFonts w:ascii="Times New Roman" w:hAnsi="Times New Roman"/>
          <w:sz w:val="28"/>
          <w:szCs w:val="28"/>
          <w:lang w:val="uk-UA" w:eastAsia="uk-UA"/>
        </w:rPr>
        <w:t xml:space="preserve"> (далі – Програма) є однією із програм </w:t>
      </w:r>
      <w:proofErr w:type="spellStart"/>
      <w:r w:rsidR="006C3BDD">
        <w:rPr>
          <w:rFonts w:ascii="Times New Roman" w:hAnsi="Times New Roman"/>
          <w:sz w:val="28"/>
          <w:szCs w:val="28"/>
          <w:lang w:val="uk-UA" w:eastAsia="uk-UA"/>
        </w:rPr>
        <w:t>освітньо-культурного</w:t>
      </w:r>
      <w:proofErr w:type="spellEnd"/>
      <w:r w:rsidR="006C3BDD">
        <w:rPr>
          <w:rFonts w:ascii="Times New Roman" w:hAnsi="Times New Roman"/>
          <w:sz w:val="28"/>
          <w:szCs w:val="28"/>
          <w:lang w:val="uk-UA" w:eastAsia="uk-UA"/>
        </w:rPr>
        <w:t xml:space="preserve"> розвитку </w:t>
      </w:r>
      <w:proofErr w:type="spellStart"/>
      <w:r w:rsidR="006C3BDD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="006C3BDD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громади, розроблена на виконання вимог статті 10 Конституції України, </w:t>
      </w:r>
      <w:r w:rsidR="006C3BDD" w:rsidRPr="00456BCC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>«Про забезпечення функціонування української мови як державної», Указ</w:t>
      </w:r>
      <w:r w:rsidR="00456BCC">
        <w:rPr>
          <w:rFonts w:ascii="Times New Roman" w:hAnsi="Times New Roman"/>
          <w:sz w:val="28"/>
          <w:szCs w:val="28"/>
          <w:lang w:val="uk-UA"/>
        </w:rPr>
        <w:t>у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 xml:space="preserve"> Президента України від </w:t>
      </w:r>
      <w:r w:rsidR="00456BCC">
        <w:rPr>
          <w:rFonts w:ascii="Times New Roman" w:hAnsi="Times New Roman"/>
          <w:sz w:val="28"/>
          <w:szCs w:val="28"/>
          <w:lang w:val="uk-UA"/>
        </w:rPr>
        <w:t>31 травня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56BCC">
        <w:rPr>
          <w:rFonts w:ascii="Times New Roman" w:hAnsi="Times New Roman"/>
          <w:sz w:val="28"/>
          <w:szCs w:val="28"/>
          <w:lang w:val="uk-UA"/>
        </w:rPr>
        <w:t>8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 xml:space="preserve"> року № 1</w:t>
      </w:r>
      <w:r w:rsidR="00456BCC">
        <w:rPr>
          <w:rFonts w:ascii="Times New Roman" w:hAnsi="Times New Roman"/>
          <w:sz w:val="28"/>
          <w:szCs w:val="28"/>
          <w:lang w:val="uk-UA"/>
        </w:rPr>
        <w:t>56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>/201</w:t>
      </w:r>
      <w:r w:rsidR="00456BCC">
        <w:rPr>
          <w:rFonts w:ascii="Times New Roman" w:hAnsi="Times New Roman"/>
          <w:sz w:val="28"/>
          <w:szCs w:val="28"/>
          <w:lang w:val="uk-UA"/>
        </w:rPr>
        <w:t>8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 xml:space="preserve"> «Про невідкладні заходи щодо зміцнення державного статусу української мови та сприяння створенню єдиного культурного простору України», розпоряджен</w:t>
      </w:r>
      <w:r w:rsidR="00456BCC">
        <w:rPr>
          <w:rFonts w:ascii="Times New Roman" w:hAnsi="Times New Roman"/>
          <w:sz w:val="28"/>
          <w:szCs w:val="28"/>
          <w:lang w:val="uk-UA"/>
        </w:rPr>
        <w:t>ня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17 липня 2019 року № 596-р «Про схвалення Стратегії популяризації української мови до 2030 року «Сильна мова – успішна держава» (із змінами), Концепції 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</w:t>
      </w:r>
      <w:r w:rsidR="00456BCC">
        <w:rPr>
          <w:rFonts w:ascii="Times New Roman" w:hAnsi="Times New Roman"/>
          <w:sz w:val="28"/>
          <w:szCs w:val="28"/>
          <w:lang w:val="uk-UA"/>
        </w:rPr>
        <w:t xml:space="preserve">, схваленої розпорядженням Кабінету Міністрів України від 19 травня 2021 року № 474-р, та розпорядження 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>Кабінету Міністрів України від 1</w:t>
      </w:r>
      <w:r w:rsidR="00456BCC">
        <w:rPr>
          <w:rFonts w:ascii="Times New Roman" w:hAnsi="Times New Roman"/>
          <w:sz w:val="28"/>
          <w:szCs w:val="28"/>
          <w:lang w:val="uk-UA"/>
        </w:rPr>
        <w:t>5 березня 2024 року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DBE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56BCC">
        <w:rPr>
          <w:rFonts w:ascii="Times New Roman" w:hAnsi="Times New Roman"/>
          <w:sz w:val="28"/>
          <w:szCs w:val="28"/>
          <w:lang w:val="uk-UA"/>
        </w:rPr>
        <w:t>243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>-р</w:t>
      </w:r>
      <w:r w:rsidR="00456BCC">
        <w:rPr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r w:rsidR="00456BCC" w:rsidRPr="00456BCC">
        <w:rPr>
          <w:rFonts w:ascii="Times New Roman" w:hAnsi="Times New Roman"/>
          <w:sz w:val="28"/>
          <w:szCs w:val="28"/>
          <w:lang w:val="uk-UA"/>
        </w:rPr>
        <w:t>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</w:t>
      </w:r>
      <w:r w:rsidR="00456BCC">
        <w:rPr>
          <w:rFonts w:ascii="Times New Roman" w:hAnsi="Times New Roman"/>
          <w:sz w:val="28"/>
          <w:szCs w:val="28"/>
          <w:lang w:val="uk-UA"/>
        </w:rPr>
        <w:t>», розпорядження голови обласної державної адміністрації-начальника обласної військової адміністрації</w:t>
      </w:r>
      <w:r w:rsidR="00351F41">
        <w:rPr>
          <w:rFonts w:ascii="Times New Roman" w:hAnsi="Times New Roman"/>
          <w:sz w:val="28"/>
          <w:szCs w:val="28"/>
          <w:lang w:val="uk-UA"/>
        </w:rPr>
        <w:t xml:space="preserve"> від 02 травня 2024 року № 200 «Про Обласну цільову програму </w:t>
      </w:r>
      <w:r w:rsidR="00351F41">
        <w:rPr>
          <w:rFonts w:ascii="Times New Roman" w:hAnsi="Times New Roman"/>
          <w:sz w:val="28"/>
          <w:szCs w:val="28"/>
          <w:lang w:val="uk-UA" w:eastAsia="uk-UA"/>
        </w:rPr>
        <w:t>забезпечення всебічного розвитку і функціонування української мови як державної в усіх сферах суспільного життя у Рівненській області на 2024-2026 роки</w:t>
      </w:r>
      <w:r w:rsidR="00351F41">
        <w:rPr>
          <w:rFonts w:ascii="Times New Roman" w:hAnsi="Times New Roman"/>
          <w:sz w:val="28"/>
          <w:szCs w:val="28"/>
          <w:lang w:val="uk-UA"/>
        </w:rPr>
        <w:t xml:space="preserve">», розпорядження голови районної державної адміністрації-начальника районної військової адміністрації від 24 червня 2024 року № 66 «Про Районну програму </w:t>
      </w:r>
      <w:r w:rsidR="00351F41">
        <w:rPr>
          <w:rFonts w:ascii="Times New Roman" w:hAnsi="Times New Roman"/>
          <w:sz w:val="28"/>
          <w:szCs w:val="28"/>
          <w:lang w:val="uk-UA" w:eastAsia="uk-UA"/>
        </w:rPr>
        <w:t xml:space="preserve">забезпечення всебічного розвитку і функціонування української мови як державної в усіх сферах суспільного життя в </w:t>
      </w:r>
      <w:proofErr w:type="spellStart"/>
      <w:r w:rsidR="00351F41">
        <w:rPr>
          <w:rFonts w:ascii="Times New Roman" w:hAnsi="Times New Roman"/>
          <w:sz w:val="28"/>
          <w:szCs w:val="28"/>
          <w:lang w:val="uk-UA" w:eastAsia="uk-UA"/>
        </w:rPr>
        <w:t>Дубенському</w:t>
      </w:r>
      <w:proofErr w:type="spellEnd"/>
      <w:r w:rsidR="00351F41">
        <w:rPr>
          <w:rFonts w:ascii="Times New Roman" w:hAnsi="Times New Roman"/>
          <w:sz w:val="28"/>
          <w:szCs w:val="28"/>
          <w:lang w:val="uk-UA" w:eastAsia="uk-UA"/>
        </w:rPr>
        <w:t xml:space="preserve"> районі на 2024-2026 роки</w:t>
      </w:r>
      <w:r w:rsidR="00351F41">
        <w:rPr>
          <w:rFonts w:ascii="Times New Roman" w:hAnsi="Times New Roman"/>
          <w:sz w:val="28"/>
          <w:szCs w:val="28"/>
          <w:lang w:val="uk-UA"/>
        </w:rPr>
        <w:t>».</w:t>
      </w:r>
    </w:p>
    <w:p w:rsidR="00351F41" w:rsidRDefault="00351F41" w:rsidP="0073709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визначає основні напрями, пріоритети, завдання розвитку української мови на 2025-2026 роки, конкретизує механізми, основні заходи реалізації, терміни, прогнозовані обсяги фінансового забезпечення її виконання.</w:t>
      </w:r>
    </w:p>
    <w:p w:rsidR="00351F41" w:rsidRDefault="00351F41" w:rsidP="0073709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Мовна ситуація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селищній територіальній громаді є однією з найкращих в Україні. Навчання у закладах освіти усіх типів здійснюється </w:t>
      </w:r>
      <w:r w:rsidR="00FD6E10">
        <w:rPr>
          <w:rFonts w:ascii="Times New Roman" w:hAnsi="Times New Roman"/>
          <w:sz w:val="28"/>
          <w:szCs w:val="28"/>
          <w:lang w:val="uk-UA"/>
        </w:rPr>
        <w:t>виключно державною мовою. У літературно-мистецьких заходах постійно беруть участь творчі колективи громади, окремі виконавці, які через пісню популяризують українську мову. До цих заходів долучаються і дитячі колективи. Мовою туристичних та екскурсійних обслуговувань є державна мова.</w:t>
      </w:r>
    </w:p>
    <w:p w:rsidR="00FD6E10" w:rsidRDefault="00FD6E10" w:rsidP="0073709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Традиційними стали проведення літературно-мистецьких заходів до Шевченківських днів, у рамках яких проходить конкурс української творчості «Об’єднаймося ж брати мої».</w:t>
      </w:r>
    </w:p>
    <w:p w:rsidR="00FD6E10" w:rsidRDefault="00FD6E10" w:rsidP="0073709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Значну роботу з популяризації української мови здійснюють бібліотеки</w:t>
      </w:r>
      <w:r w:rsidRPr="00AC7941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проводяться презентації нових підручників та навчальних посібників, довідкової літератури з української </w:t>
      </w:r>
      <w:r w:rsidR="00E005D7">
        <w:rPr>
          <w:rFonts w:ascii="Times New Roman" w:hAnsi="Times New Roman"/>
          <w:sz w:val="28"/>
          <w:szCs w:val="28"/>
          <w:lang w:val="uk-UA"/>
        </w:rPr>
        <w:t>мови, українознавства, забезпечується організація тематичних книжкових виставок.</w:t>
      </w:r>
    </w:p>
    <w:p w:rsidR="00E005D7" w:rsidRDefault="00E005D7" w:rsidP="0073709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Культурно-мистецькі заходи  до Міжнародного для рідної мови, Дня української писемності та мови, ювілейних та пам’ятних дат українських літераторів, до днів, пов’язаних із історією української мови та літератури</w:t>
      </w:r>
      <w:r w:rsidR="00737095">
        <w:rPr>
          <w:rFonts w:ascii="Times New Roman" w:hAnsi="Times New Roman"/>
          <w:sz w:val="28"/>
          <w:szCs w:val="28"/>
          <w:lang w:val="uk-UA"/>
        </w:rPr>
        <w:t xml:space="preserve"> проводяться в усіх закладах освіти та культури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50306" w:rsidRDefault="00550306" w:rsidP="00737095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05D7" w:rsidRPr="00E005D7" w:rsidRDefault="00E005D7" w:rsidP="00737095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05D7">
        <w:rPr>
          <w:rFonts w:ascii="Times New Roman" w:hAnsi="Times New Roman"/>
          <w:b/>
          <w:sz w:val="28"/>
          <w:szCs w:val="28"/>
          <w:lang w:val="uk-UA"/>
        </w:rPr>
        <w:t>ІІ. Мета Програми</w:t>
      </w:r>
    </w:p>
    <w:p w:rsidR="00E005D7" w:rsidRDefault="00E005D7" w:rsidP="00351F41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Програми є подальше зміцнення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функціонування української мови як державної в усіх сферах суспільного життя в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Млинівській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селищній територіальній громаді, виховання любові, поваги, шанобливого ставлення до її державного статусу, посилення консолідуючої ролі в українському суспільстві як засобу зміцнення державної єдності, територіальної цілісності та національної безпеки України.</w:t>
      </w:r>
    </w:p>
    <w:p w:rsidR="00550306" w:rsidRDefault="00550306" w:rsidP="008A3B80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A3B80" w:rsidRPr="008A3B80" w:rsidRDefault="008A3B80" w:rsidP="008A3B80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A3B80">
        <w:rPr>
          <w:rFonts w:ascii="Times New Roman" w:hAnsi="Times New Roman"/>
          <w:b/>
          <w:sz w:val="28"/>
          <w:szCs w:val="28"/>
          <w:lang w:val="uk-UA" w:eastAsia="uk-UA"/>
        </w:rPr>
        <w:t>ІІІ. Обсяги та джерела фінансування</w:t>
      </w:r>
    </w:p>
    <w:p w:rsidR="00E005D7" w:rsidRDefault="00E005D7" w:rsidP="007370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Фінансове забезпечення заходів Програми здійснюється за рахунок коштів </w:t>
      </w:r>
      <w:r w:rsidR="008A3B80">
        <w:rPr>
          <w:rFonts w:ascii="Times New Roman" w:hAnsi="Times New Roman"/>
          <w:sz w:val="28"/>
          <w:szCs w:val="28"/>
          <w:lang w:val="uk-UA" w:eastAsia="uk-UA"/>
        </w:rPr>
        <w:t xml:space="preserve">бюджету </w:t>
      </w:r>
      <w:proofErr w:type="spellStart"/>
      <w:r w:rsidR="008A3B80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="008A3B80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та інших джерел, не заборонених чинним законодавством.</w:t>
      </w:r>
    </w:p>
    <w:p w:rsidR="008A3B80" w:rsidRDefault="008A3B80" w:rsidP="007370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За попередніми розрахунками для виконання передбачених Програмою заходів з бюджету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</w:t>
      </w:r>
      <w:r w:rsidRPr="00A50CF5">
        <w:rPr>
          <w:rFonts w:ascii="Times New Roman" w:hAnsi="Times New Roman"/>
          <w:sz w:val="28"/>
          <w:szCs w:val="28"/>
          <w:lang w:val="uk-UA" w:eastAsia="uk-UA"/>
        </w:rPr>
        <w:t>необхідно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A50CF5">
        <w:rPr>
          <w:rFonts w:ascii="Times New Roman" w:hAnsi="Times New Roman"/>
          <w:sz w:val="28"/>
          <w:szCs w:val="28"/>
          <w:lang w:val="uk-UA" w:eastAsia="uk-UA"/>
        </w:rPr>
        <w:t xml:space="preserve">330 тис. грн. </w:t>
      </w:r>
      <w:r>
        <w:rPr>
          <w:rFonts w:ascii="Times New Roman" w:hAnsi="Times New Roman"/>
          <w:sz w:val="28"/>
          <w:szCs w:val="28"/>
          <w:lang w:val="uk-UA" w:eastAsia="uk-UA"/>
        </w:rPr>
        <w:t>У тому числі за роками</w:t>
      </w:r>
      <w:r w:rsidRPr="00AC7941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2025 рік – </w:t>
      </w:r>
      <w:r w:rsidR="00A50CF5">
        <w:rPr>
          <w:rFonts w:ascii="Times New Roman" w:hAnsi="Times New Roman"/>
          <w:sz w:val="28"/>
          <w:szCs w:val="28"/>
          <w:lang w:val="uk-UA"/>
        </w:rPr>
        <w:t xml:space="preserve">165 </w:t>
      </w:r>
      <w:r>
        <w:rPr>
          <w:rFonts w:ascii="Times New Roman" w:hAnsi="Times New Roman"/>
          <w:sz w:val="28"/>
          <w:szCs w:val="28"/>
          <w:lang w:val="uk-UA"/>
        </w:rPr>
        <w:t xml:space="preserve">тис.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</w:t>
      </w:r>
      <w:r w:rsidR="00A50CF5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; 2026 рік – </w:t>
      </w:r>
      <w:r w:rsidR="00A50CF5">
        <w:rPr>
          <w:rFonts w:ascii="Times New Roman" w:hAnsi="Times New Roman"/>
          <w:sz w:val="28"/>
          <w:szCs w:val="28"/>
          <w:lang w:val="uk-UA"/>
        </w:rPr>
        <w:t xml:space="preserve"> 165 </w:t>
      </w:r>
      <w:r>
        <w:rPr>
          <w:rFonts w:ascii="Times New Roman" w:hAnsi="Times New Roman"/>
          <w:sz w:val="28"/>
          <w:szCs w:val="28"/>
          <w:lang w:val="uk-UA"/>
        </w:rPr>
        <w:t>тис. гр</w:t>
      </w:r>
      <w:r w:rsidR="00A50CF5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A3B80" w:rsidRDefault="008A3B80" w:rsidP="007370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Обсяги видатків уточнюються щороку з урахуванням можливостей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бюджету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громади, конкретизації завдань за підсумками їх виконання упродовж попередніх років.</w:t>
      </w:r>
    </w:p>
    <w:p w:rsidR="00550306" w:rsidRDefault="00550306" w:rsidP="008A3B80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550306" w:rsidRDefault="00550306" w:rsidP="008A3B80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A3B80" w:rsidRPr="008A3B80" w:rsidRDefault="008A3B80" w:rsidP="008A3B80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A3B80">
        <w:rPr>
          <w:rFonts w:ascii="Times New Roman" w:hAnsi="Times New Roman"/>
          <w:b/>
          <w:sz w:val="28"/>
          <w:szCs w:val="28"/>
          <w:lang w:val="uk-UA" w:eastAsia="uk-UA"/>
        </w:rPr>
        <w:lastRenderedPageBreak/>
        <w:t>І</w:t>
      </w:r>
      <w:r w:rsidRPr="008A3B80">
        <w:rPr>
          <w:rFonts w:ascii="Times New Roman" w:hAnsi="Times New Roman"/>
          <w:b/>
          <w:sz w:val="28"/>
          <w:szCs w:val="28"/>
          <w:lang w:val="en-US" w:eastAsia="uk-UA"/>
        </w:rPr>
        <w:t>V</w:t>
      </w:r>
      <w:r w:rsidRPr="008A3B80">
        <w:rPr>
          <w:rFonts w:ascii="Times New Roman" w:hAnsi="Times New Roman"/>
          <w:b/>
          <w:sz w:val="28"/>
          <w:szCs w:val="28"/>
          <w:lang w:val="uk-UA" w:eastAsia="uk-UA"/>
        </w:rPr>
        <w:t>. Завдання і заходи</w:t>
      </w:r>
    </w:p>
    <w:p w:rsidR="008A3B80" w:rsidRDefault="008A3B80" w:rsidP="00351F41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Завдання і заходи Програми наведено в додатку. </w:t>
      </w:r>
    </w:p>
    <w:p w:rsidR="00550306" w:rsidRDefault="00550306" w:rsidP="008A3B80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A3B80" w:rsidRDefault="008A3B80" w:rsidP="008A3B80">
      <w:pPr>
        <w:spacing w:after="12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A3B80">
        <w:rPr>
          <w:rFonts w:ascii="Times New Roman" w:hAnsi="Times New Roman"/>
          <w:b/>
          <w:sz w:val="28"/>
          <w:szCs w:val="28"/>
          <w:lang w:val="en-US" w:eastAsia="uk-UA"/>
        </w:rPr>
        <w:t>V</w:t>
      </w:r>
      <w:r w:rsidRPr="008A3B80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Очікувані результати</w:t>
      </w:r>
    </w:p>
    <w:p w:rsidR="008A3B80" w:rsidRDefault="008A3B80" w:rsidP="00351F41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Виконання Програми забезпечить</w:t>
      </w:r>
      <w:r w:rsidRPr="00AC7941">
        <w:rPr>
          <w:rFonts w:ascii="Times New Roman" w:hAnsi="Times New Roman"/>
          <w:sz w:val="28"/>
          <w:szCs w:val="28"/>
          <w:lang w:val="uk-UA"/>
        </w:rPr>
        <w:t>:</w:t>
      </w:r>
    </w:p>
    <w:p w:rsidR="008A3B80" w:rsidRDefault="000822E6" w:rsidP="00253A84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Pr="000822E6">
        <w:rPr>
          <w:rFonts w:ascii="Times New Roman" w:hAnsi="Times New Roman"/>
          <w:sz w:val="28"/>
          <w:szCs w:val="28"/>
          <w:lang w:val="uk-UA" w:eastAsia="uk-UA"/>
        </w:rPr>
        <w:t>практичну реалізацію статті 10 Конституції України щодо всебічного розвитку і функціонування української мови як державної в усіх сферах суспільного життя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0822E6" w:rsidRDefault="000822E6" w:rsidP="00253A84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зміцнення функціонування української мови у засобах масової інформації, медіа просторі, сфері культури, освіти громади, в побуті, торгівлі;</w:t>
      </w:r>
    </w:p>
    <w:p w:rsidR="000822E6" w:rsidRDefault="000822E6" w:rsidP="00253A84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підтримку представників освітніх, мистецьких колективів, громадських об’єднань, творчих працівників, місцевих літераторів, які сприяють розвитку української мови, культури, історичної свідомості;</w:t>
      </w:r>
    </w:p>
    <w:p w:rsidR="00FD6E10" w:rsidRPr="00E33F8E" w:rsidRDefault="000822E6" w:rsidP="00253A84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Pr="00E33F8E">
        <w:rPr>
          <w:rFonts w:ascii="Times New Roman" w:hAnsi="Times New Roman"/>
          <w:sz w:val="28"/>
          <w:szCs w:val="28"/>
          <w:lang w:val="uk-UA" w:eastAsia="uk-UA"/>
        </w:rPr>
        <w:t>сприяння популяризації серед населення кращих зразків культурної спадщини України.</w:t>
      </w:r>
    </w:p>
    <w:p w:rsidR="00253A84" w:rsidRPr="00E33F8E" w:rsidRDefault="00253A84" w:rsidP="003E59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A84" w:rsidRPr="00E33F8E" w:rsidRDefault="00253A84" w:rsidP="003E59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A84" w:rsidRPr="00E33F8E" w:rsidRDefault="00253A84" w:rsidP="003E59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3F8E" w:rsidRPr="00E33F8E" w:rsidRDefault="00E33F8E" w:rsidP="00E33F8E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33F8E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E33F8E">
        <w:rPr>
          <w:rFonts w:ascii="Times New Roman" w:hAnsi="Times New Roman"/>
          <w:sz w:val="28"/>
          <w:szCs w:val="28"/>
        </w:rPr>
        <w:t xml:space="preserve"> голова</w:t>
      </w:r>
      <w:r w:rsidRPr="00E33F8E">
        <w:rPr>
          <w:rFonts w:ascii="Times New Roman" w:hAnsi="Times New Roman"/>
          <w:sz w:val="28"/>
          <w:szCs w:val="28"/>
        </w:rPr>
        <w:tab/>
        <w:t xml:space="preserve">    </w:t>
      </w:r>
      <w:r w:rsidRPr="00E33F8E">
        <w:rPr>
          <w:rFonts w:ascii="Times New Roman" w:hAnsi="Times New Roman"/>
          <w:sz w:val="28"/>
          <w:szCs w:val="28"/>
        </w:rPr>
        <w:tab/>
        <w:t xml:space="preserve"> </w:t>
      </w:r>
      <w:r w:rsidRPr="00E33F8E">
        <w:rPr>
          <w:rFonts w:ascii="Times New Roman" w:hAnsi="Times New Roman"/>
          <w:sz w:val="28"/>
          <w:szCs w:val="28"/>
        </w:rPr>
        <w:tab/>
      </w:r>
      <w:r w:rsidRPr="00E33F8E">
        <w:rPr>
          <w:rFonts w:ascii="Times New Roman" w:hAnsi="Times New Roman"/>
          <w:sz w:val="28"/>
          <w:szCs w:val="28"/>
        </w:rPr>
        <w:tab/>
        <w:t xml:space="preserve">            </w:t>
      </w:r>
      <w:r w:rsidRPr="00E33F8E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Pr="00E33F8E">
        <w:rPr>
          <w:rFonts w:ascii="Times New Roman" w:hAnsi="Times New Roman"/>
          <w:sz w:val="28"/>
          <w:szCs w:val="28"/>
        </w:rPr>
        <w:t>Дмитро</w:t>
      </w:r>
      <w:proofErr w:type="spellEnd"/>
      <w:r w:rsidRPr="00E33F8E">
        <w:rPr>
          <w:rFonts w:ascii="Times New Roman" w:hAnsi="Times New Roman"/>
          <w:sz w:val="28"/>
          <w:szCs w:val="28"/>
        </w:rPr>
        <w:t xml:space="preserve"> ЛЕВИЦЬ</w:t>
      </w:r>
      <w:r w:rsidRPr="00E33F8E">
        <w:rPr>
          <w:rFonts w:ascii="Times New Roman" w:hAnsi="Times New Roman"/>
          <w:sz w:val="28"/>
          <w:szCs w:val="28"/>
          <w:lang w:val="uk-UA"/>
        </w:rPr>
        <w:t>КИЙ</w:t>
      </w:r>
    </w:p>
    <w:p w:rsidR="003E5988" w:rsidRPr="00E33F8E" w:rsidRDefault="003E5988" w:rsidP="000822E6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E5988" w:rsidRPr="00E33F8E" w:rsidSect="00253A8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218" w:rsidRDefault="00BE7218" w:rsidP="00FD6E10">
      <w:pPr>
        <w:spacing w:after="0" w:line="240" w:lineRule="auto"/>
      </w:pPr>
      <w:r>
        <w:separator/>
      </w:r>
    </w:p>
  </w:endnote>
  <w:endnote w:type="continuationSeparator" w:id="0">
    <w:p w:rsidR="00BE7218" w:rsidRDefault="00BE7218" w:rsidP="00FD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218" w:rsidRDefault="00BE7218" w:rsidP="00FD6E10">
      <w:pPr>
        <w:spacing w:after="0" w:line="240" w:lineRule="auto"/>
      </w:pPr>
      <w:r>
        <w:separator/>
      </w:r>
    </w:p>
  </w:footnote>
  <w:footnote w:type="continuationSeparator" w:id="0">
    <w:p w:rsidR="00BE7218" w:rsidRDefault="00BE7218" w:rsidP="00FD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67"/>
      <w:docPartObj>
        <w:docPartGallery w:val="Page Numbers (Top of Page)"/>
        <w:docPartUnique/>
      </w:docPartObj>
    </w:sdtPr>
    <w:sdtContent>
      <w:p w:rsidR="00E005D7" w:rsidRDefault="00B126F9">
        <w:pPr>
          <w:pStyle w:val="a4"/>
          <w:jc w:val="center"/>
        </w:pPr>
        <w:r w:rsidRPr="00253A84">
          <w:rPr>
            <w:rFonts w:ascii="Times New Roman" w:hAnsi="Times New Roman"/>
            <w:sz w:val="24"/>
            <w:szCs w:val="24"/>
          </w:rPr>
          <w:fldChar w:fldCharType="begin"/>
        </w:r>
        <w:r w:rsidR="005C4C03" w:rsidRPr="00253A8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53A84">
          <w:rPr>
            <w:rFonts w:ascii="Times New Roman" w:hAnsi="Times New Roman"/>
            <w:sz w:val="24"/>
            <w:szCs w:val="24"/>
          </w:rPr>
          <w:fldChar w:fldCharType="separate"/>
        </w:r>
        <w:r w:rsidR="00C51127">
          <w:rPr>
            <w:rFonts w:ascii="Times New Roman" w:hAnsi="Times New Roman"/>
            <w:noProof/>
            <w:sz w:val="24"/>
            <w:szCs w:val="24"/>
          </w:rPr>
          <w:t>4</w:t>
        </w:r>
        <w:r w:rsidRPr="00253A8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005D7" w:rsidRDefault="00E005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B0611"/>
    <w:multiLevelType w:val="hybridMultilevel"/>
    <w:tmpl w:val="19B47114"/>
    <w:lvl w:ilvl="0" w:tplc="A87E64B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1C9"/>
    <w:rsid w:val="00071B7D"/>
    <w:rsid w:val="00072D8E"/>
    <w:rsid w:val="000822E6"/>
    <w:rsid w:val="001D4796"/>
    <w:rsid w:val="001F200A"/>
    <w:rsid w:val="00253A84"/>
    <w:rsid w:val="002F20D4"/>
    <w:rsid w:val="00351F41"/>
    <w:rsid w:val="00381245"/>
    <w:rsid w:val="003E5988"/>
    <w:rsid w:val="003F289D"/>
    <w:rsid w:val="003F6BE6"/>
    <w:rsid w:val="00424D15"/>
    <w:rsid w:val="00456BCC"/>
    <w:rsid w:val="00481460"/>
    <w:rsid w:val="00524DBE"/>
    <w:rsid w:val="00550306"/>
    <w:rsid w:val="005549F3"/>
    <w:rsid w:val="005758D3"/>
    <w:rsid w:val="005C4C03"/>
    <w:rsid w:val="005E1265"/>
    <w:rsid w:val="00602E4D"/>
    <w:rsid w:val="00644F1D"/>
    <w:rsid w:val="006A359A"/>
    <w:rsid w:val="006C3BDD"/>
    <w:rsid w:val="00730129"/>
    <w:rsid w:val="00737095"/>
    <w:rsid w:val="00793F31"/>
    <w:rsid w:val="008131C9"/>
    <w:rsid w:val="008909F2"/>
    <w:rsid w:val="008A3B80"/>
    <w:rsid w:val="008E1599"/>
    <w:rsid w:val="00A004AD"/>
    <w:rsid w:val="00A50CF5"/>
    <w:rsid w:val="00AB55E5"/>
    <w:rsid w:val="00AD3B45"/>
    <w:rsid w:val="00B10D7F"/>
    <w:rsid w:val="00B126F9"/>
    <w:rsid w:val="00B55C28"/>
    <w:rsid w:val="00B77A67"/>
    <w:rsid w:val="00BD2E7F"/>
    <w:rsid w:val="00BE7218"/>
    <w:rsid w:val="00C51127"/>
    <w:rsid w:val="00D77223"/>
    <w:rsid w:val="00D978ED"/>
    <w:rsid w:val="00DB7260"/>
    <w:rsid w:val="00DF6250"/>
    <w:rsid w:val="00E005D7"/>
    <w:rsid w:val="00E33F8E"/>
    <w:rsid w:val="00E857AA"/>
    <w:rsid w:val="00EB0326"/>
    <w:rsid w:val="00ED2BD0"/>
    <w:rsid w:val="00F03700"/>
    <w:rsid w:val="00F673AB"/>
    <w:rsid w:val="00FD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1D"/>
    <w:pPr>
      <w:spacing w:after="160" w:line="25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F1D"/>
    <w:pPr>
      <w:spacing w:after="0" w:line="240" w:lineRule="auto"/>
    </w:pPr>
    <w:rPr>
      <w:rFonts w:asciiTheme="minorHAnsi" w:hAnsiTheme="minorHAnsi" w:cstheme="minorBidi"/>
      <w:sz w:val="22"/>
      <w:szCs w:val="22"/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6E10"/>
    <w:rPr>
      <w:rFonts w:ascii="Calibri" w:eastAsia="Times New Roman" w:hAnsi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FD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E10"/>
    <w:rPr>
      <w:rFonts w:ascii="Calibri" w:eastAsia="Times New Roman" w:hAnsi="Calibri"/>
      <w:sz w:val="22"/>
      <w:szCs w:val="22"/>
    </w:rPr>
  </w:style>
  <w:style w:type="paragraph" w:styleId="a8">
    <w:name w:val="List Paragraph"/>
    <w:basedOn w:val="a"/>
    <w:uiPriority w:val="34"/>
    <w:qFormat/>
    <w:rsid w:val="008A3B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1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6766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sergiy</dc:creator>
  <cp:lastModifiedBy>Пользователь</cp:lastModifiedBy>
  <cp:revision>2</cp:revision>
  <cp:lastPrinted>2025-01-09T10:20:00Z</cp:lastPrinted>
  <dcterms:created xsi:type="dcterms:W3CDTF">2025-01-20T14:43:00Z</dcterms:created>
  <dcterms:modified xsi:type="dcterms:W3CDTF">2025-01-20T14:43:00Z</dcterms:modified>
</cp:coreProperties>
</file>