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34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F304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 w:rsidR="007F3045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___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комунальної</w:t>
      </w:r>
      <w:r w:rsidR="000E36BE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292347">
        <w:rPr>
          <w:sz w:val="28"/>
          <w:szCs w:val="28"/>
          <w:lang w:val="uk-UA"/>
        </w:rPr>
        <w:t>Пугачівського</w:t>
      </w:r>
      <w:proofErr w:type="spellEnd"/>
      <w:r w:rsidR="00292347"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2923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2347">
        <w:rPr>
          <w:color w:val="000000"/>
          <w:sz w:val="28"/>
          <w:szCs w:val="28"/>
          <w:lang w:val="uk-UA"/>
        </w:rPr>
        <w:t>Жигаревича</w:t>
      </w:r>
      <w:proofErr w:type="spellEnd"/>
      <w:r w:rsidR="00292347">
        <w:rPr>
          <w:color w:val="000000"/>
          <w:sz w:val="28"/>
          <w:szCs w:val="28"/>
          <w:lang w:val="uk-UA"/>
        </w:rPr>
        <w:t xml:space="preserve"> Василя Антоновича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292347">
        <w:rPr>
          <w:color w:val="000000"/>
          <w:sz w:val="28"/>
          <w:szCs w:val="28"/>
          <w:lang w:val="uk-UA"/>
        </w:rPr>
        <w:t>03</w:t>
      </w:r>
      <w:r w:rsidR="00C268B4">
        <w:rPr>
          <w:color w:val="000000"/>
          <w:sz w:val="28"/>
          <w:szCs w:val="28"/>
          <w:lang w:val="uk-UA"/>
        </w:rPr>
        <w:t>.</w:t>
      </w:r>
      <w:r w:rsidR="00292347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292347">
        <w:rPr>
          <w:color w:val="000000"/>
          <w:sz w:val="28"/>
          <w:szCs w:val="28"/>
          <w:lang w:val="uk-UA"/>
        </w:rPr>
        <w:t>Пугачівського</w:t>
      </w:r>
      <w:proofErr w:type="spellEnd"/>
      <w:r w:rsidR="001D409B">
        <w:rPr>
          <w:color w:val="000000"/>
          <w:sz w:val="28"/>
          <w:szCs w:val="28"/>
          <w:lang w:val="uk-UA"/>
        </w:rPr>
        <w:t xml:space="preserve"> сільської ради від </w:t>
      </w:r>
      <w:r w:rsidR="00292347">
        <w:rPr>
          <w:color w:val="000000"/>
          <w:sz w:val="28"/>
          <w:szCs w:val="28"/>
          <w:lang w:val="uk-UA"/>
        </w:rPr>
        <w:t>04</w:t>
      </w:r>
      <w:r w:rsidR="0066649E">
        <w:rPr>
          <w:color w:val="000000"/>
          <w:sz w:val="28"/>
          <w:szCs w:val="28"/>
          <w:lang w:val="uk-UA"/>
        </w:rPr>
        <w:t>.0</w:t>
      </w:r>
      <w:r w:rsidR="00292347">
        <w:rPr>
          <w:color w:val="000000"/>
          <w:sz w:val="28"/>
          <w:szCs w:val="28"/>
          <w:lang w:val="uk-UA"/>
        </w:rPr>
        <w:t>3</w:t>
      </w:r>
      <w:r w:rsidR="0066649E">
        <w:rPr>
          <w:color w:val="000000"/>
          <w:sz w:val="28"/>
          <w:szCs w:val="28"/>
          <w:lang w:val="uk-UA"/>
        </w:rPr>
        <w:t>.199</w:t>
      </w:r>
      <w:r w:rsidR="00292347">
        <w:rPr>
          <w:color w:val="000000"/>
          <w:sz w:val="28"/>
          <w:szCs w:val="28"/>
          <w:lang w:val="uk-UA"/>
        </w:rPr>
        <w:t>7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B15" w:rsidRPr="00127021">
        <w:rPr>
          <w:color w:val="000000"/>
          <w:sz w:val="28"/>
          <w:szCs w:val="28"/>
          <w:lang w:val="uk-UA"/>
        </w:rPr>
        <w:t>Надати дозвіл</w:t>
      </w:r>
      <w:r w:rsidR="00201B15"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="00201B15" w:rsidRPr="00127021">
        <w:rPr>
          <w:sz w:val="28"/>
          <w:szCs w:val="28"/>
          <w:lang w:val="uk-UA"/>
        </w:rPr>
        <w:t>земельної ділянки</w:t>
      </w:r>
      <w:r w:rsidR="000E36BE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="00201B15" w:rsidRPr="00127021">
        <w:rPr>
          <w:color w:val="000000"/>
          <w:sz w:val="28"/>
          <w:szCs w:val="28"/>
          <w:lang w:val="uk-UA"/>
        </w:rPr>
        <w:t>комунальної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="00201B15" w:rsidRPr="00127021">
        <w:rPr>
          <w:color w:val="000000"/>
          <w:sz w:val="28"/>
          <w:szCs w:val="28"/>
          <w:lang w:val="uk-UA"/>
        </w:rPr>
        <w:t xml:space="preserve"> площею </w:t>
      </w:r>
      <w:r w:rsidR="000E36BE">
        <w:rPr>
          <w:sz w:val="28"/>
          <w:szCs w:val="28"/>
          <w:shd w:val="clear" w:color="auto" w:fill="FFFFFF"/>
          <w:lang w:val="uk-UA"/>
        </w:rPr>
        <w:t>0,5140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0E36BE">
        <w:rPr>
          <w:sz w:val="28"/>
          <w:szCs w:val="28"/>
          <w:lang w:val="uk-UA"/>
        </w:rPr>
        <w:t>76</w:t>
      </w:r>
      <w:r w:rsidR="0066649E">
        <w:rPr>
          <w:sz w:val="28"/>
          <w:szCs w:val="28"/>
          <w:lang w:val="uk-UA"/>
        </w:rPr>
        <w:t>00:0</w:t>
      </w:r>
      <w:r w:rsidR="000E36BE">
        <w:rPr>
          <w:sz w:val="28"/>
          <w:szCs w:val="28"/>
          <w:lang w:val="uk-UA"/>
        </w:rPr>
        <w:t>1</w:t>
      </w:r>
      <w:r w:rsidR="00552FA4" w:rsidRPr="00B746E2">
        <w:rPr>
          <w:sz w:val="28"/>
          <w:szCs w:val="28"/>
          <w:lang w:val="uk-UA"/>
        </w:rPr>
        <w:t>:0</w:t>
      </w:r>
      <w:r w:rsidR="000E36BE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CB2221">
        <w:rPr>
          <w:sz w:val="28"/>
          <w:szCs w:val="28"/>
          <w:lang w:val="uk-UA"/>
        </w:rPr>
        <w:t>3</w:t>
      </w:r>
      <w:r w:rsidR="000E36BE">
        <w:rPr>
          <w:sz w:val="28"/>
          <w:szCs w:val="28"/>
          <w:lang w:val="uk-UA"/>
        </w:rPr>
        <w:t>09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="00201B15" w:rsidRPr="00127021">
        <w:rPr>
          <w:color w:val="000000"/>
          <w:sz w:val="28"/>
          <w:szCs w:val="28"/>
          <w:lang w:val="uk-UA"/>
        </w:rPr>
        <w:t>.</w:t>
      </w:r>
    </w:p>
    <w:p w:rsidR="00AF7451" w:rsidRDefault="000E36BE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Пугач</w:t>
      </w:r>
      <w:r w:rsidR="0066649E">
        <w:rPr>
          <w:sz w:val="28"/>
          <w:szCs w:val="28"/>
          <w:lang w:val="uk-UA"/>
        </w:rPr>
        <w:t>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FA24C8" w:rsidRDefault="00FA24C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0E36BE" w:rsidRDefault="000E36BE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7F304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7F3045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1E2935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7F304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11056"/>
    <w:rsid w:val="00217AC1"/>
    <w:rsid w:val="00257FAA"/>
    <w:rsid w:val="0027330F"/>
    <w:rsid w:val="00292347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3045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05F9"/>
  <w15:docId w15:val="{E9C02FD1-4DF1-4DC5-BA50-10564B41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66C94-B662-4C86-8ED4-808D5803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41</cp:revision>
  <cp:lastPrinted>2025-03-28T13:15:00Z</cp:lastPrinted>
  <dcterms:created xsi:type="dcterms:W3CDTF">2024-06-04T13:06:00Z</dcterms:created>
  <dcterms:modified xsi:type="dcterms:W3CDTF">2025-03-28T13:16:00Z</dcterms:modified>
</cp:coreProperties>
</file>