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E1B7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604C49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A05F4">
        <w:rPr>
          <w:bCs/>
          <w:sz w:val="28"/>
          <w:szCs w:val="28"/>
          <w:lang w:val="uk-UA"/>
        </w:rPr>
        <w:tab/>
      </w:r>
      <w:r w:rsidR="00BA05F4">
        <w:rPr>
          <w:bCs/>
          <w:sz w:val="28"/>
          <w:szCs w:val="28"/>
          <w:lang w:val="uk-UA"/>
        </w:rPr>
        <w:tab/>
      </w:r>
      <w:r w:rsidR="00BA05F4">
        <w:rPr>
          <w:bCs/>
          <w:sz w:val="28"/>
          <w:szCs w:val="28"/>
          <w:lang w:val="uk-UA"/>
        </w:rPr>
        <w:tab/>
      </w:r>
      <w:r w:rsidR="00BA05F4">
        <w:rPr>
          <w:bCs/>
          <w:sz w:val="28"/>
          <w:szCs w:val="28"/>
          <w:lang w:val="uk-UA"/>
        </w:rPr>
        <w:tab/>
      </w:r>
      <w:r w:rsidR="00BA05F4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BA05F4">
        <w:rPr>
          <w:bCs/>
          <w:sz w:val="28"/>
          <w:szCs w:val="28"/>
          <w:lang w:val="uk-UA"/>
        </w:rPr>
        <w:t xml:space="preserve">   </w:t>
      </w:r>
      <w:r w:rsidR="00847D3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123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9F3DAE" w:rsidP="007E77AD">
      <w:pPr>
        <w:tabs>
          <w:tab w:val="left" w:pos="5387"/>
        </w:tabs>
        <w:ind w:right="43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масивів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9E1B7A">
        <w:rPr>
          <w:sz w:val="28"/>
          <w:szCs w:val="28"/>
          <w:lang w:val="uk-UA"/>
        </w:rPr>
        <w:t>Перемилі</w:t>
      </w:r>
      <w:r w:rsidR="007E77AD">
        <w:rPr>
          <w:sz w:val="28"/>
          <w:szCs w:val="28"/>
          <w:lang w:val="uk-UA"/>
        </w:rPr>
        <w:t>вського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 w:rsidR="007E77AD">
        <w:rPr>
          <w:sz w:val="28"/>
          <w:szCs w:val="28"/>
          <w:lang w:val="uk-UA"/>
        </w:rPr>
        <w:t>старостинського</w:t>
      </w:r>
      <w:proofErr w:type="spellEnd"/>
      <w:r w:rsidR="007E77AD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 w:rsidR="007E77AD">
        <w:rPr>
          <w:sz w:val="28"/>
          <w:szCs w:val="28"/>
          <w:lang w:val="uk-UA"/>
        </w:rPr>
        <w:t>Млинівської</w:t>
      </w:r>
      <w:proofErr w:type="spellEnd"/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масивів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9E1B7A">
        <w:rPr>
          <w:sz w:val="28"/>
          <w:szCs w:val="28"/>
          <w:lang w:val="uk-UA"/>
        </w:rPr>
        <w:t>Перемил</w:t>
      </w:r>
      <w:r w:rsidR="00EE34E0">
        <w:rPr>
          <w:sz w:val="28"/>
          <w:szCs w:val="28"/>
          <w:lang w:val="uk-UA"/>
        </w:rPr>
        <w:t>івського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13241B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</w:t>
      </w:r>
      <w:r w:rsidR="00BA05F4" w:rsidRPr="00BA05F4">
        <w:rPr>
          <w:sz w:val="28"/>
          <w:szCs w:val="28"/>
          <w:lang w:val="uk-UA"/>
        </w:rPr>
        <w:t xml:space="preserve"> </w:t>
      </w:r>
      <w:r w:rsidR="00BA05F4" w:rsidRPr="00B43C2A">
        <w:rPr>
          <w:sz w:val="28"/>
          <w:szCs w:val="28"/>
          <w:lang w:val="uk-UA"/>
        </w:rPr>
        <w:t xml:space="preserve">від 05.06.2019 № 476, </w:t>
      </w:r>
      <w:r w:rsidR="00682FF8" w:rsidRPr="00B43C2A">
        <w:rPr>
          <w:sz w:val="28"/>
          <w:szCs w:val="28"/>
          <w:lang w:val="uk-UA"/>
        </w:rPr>
        <w:t>«Про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BA05F4">
        <w:rPr>
          <w:sz w:val="28"/>
          <w:szCs w:val="28"/>
          <w:lang w:val="uk-UA"/>
        </w:rPr>
        <w:t>,</w:t>
      </w:r>
      <w:r w:rsidR="00682FF8" w:rsidRPr="00B43C2A">
        <w:rPr>
          <w:sz w:val="28"/>
          <w:szCs w:val="28"/>
          <w:lang w:val="uk-UA"/>
        </w:rPr>
        <w:t xml:space="preserve">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9F61C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 xml:space="preserve">, </w:t>
      </w:r>
      <w:proofErr w:type="spellStart"/>
      <w:r w:rsidR="0013241B">
        <w:rPr>
          <w:sz w:val="28"/>
          <w:szCs w:val="28"/>
          <w:lang w:val="uk-UA"/>
        </w:rPr>
        <w:t>Млинівська</w:t>
      </w:r>
      <w:proofErr w:type="spellEnd"/>
      <w:r w:rsidR="0013241B">
        <w:rPr>
          <w:sz w:val="28"/>
          <w:szCs w:val="28"/>
          <w:lang w:val="uk-UA"/>
        </w:rPr>
        <w:t xml:space="preserve">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25221E" w:rsidRDefault="009F3DAE" w:rsidP="00B43C2A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13241B">
        <w:rPr>
          <w:sz w:val="28"/>
          <w:szCs w:val="28"/>
          <w:lang w:val="uk-UA"/>
        </w:rPr>
        <w:t>Погодити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682FF8">
        <w:rPr>
          <w:sz w:val="28"/>
          <w:szCs w:val="28"/>
          <w:lang w:val="uk-UA"/>
        </w:rPr>
        <w:t xml:space="preserve">  </w:t>
      </w:r>
      <w:r w:rsidR="0013241B" w:rsidRPr="008C1F6B">
        <w:rPr>
          <w:sz w:val="28"/>
          <w:szCs w:val="28"/>
          <w:lang w:val="uk-UA"/>
        </w:rPr>
        <w:t xml:space="preserve">масивів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9E1B7A">
        <w:rPr>
          <w:sz w:val="28"/>
          <w:szCs w:val="28"/>
          <w:lang w:val="uk-UA"/>
        </w:rPr>
        <w:t>Перемил</w:t>
      </w:r>
      <w:r w:rsidR="00EE34E0">
        <w:rPr>
          <w:sz w:val="28"/>
          <w:szCs w:val="28"/>
          <w:lang w:val="uk-UA"/>
        </w:rPr>
        <w:t>івського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 w:rsidR="0013241B">
        <w:rPr>
          <w:sz w:val="28"/>
          <w:szCs w:val="28"/>
          <w:lang w:val="uk-UA"/>
        </w:rPr>
        <w:t>старостинського</w:t>
      </w:r>
      <w:proofErr w:type="spellEnd"/>
      <w:r w:rsidR="0013241B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 w:rsidR="0013241B">
        <w:rPr>
          <w:sz w:val="28"/>
          <w:szCs w:val="28"/>
          <w:lang w:val="uk-UA"/>
        </w:rPr>
        <w:t>Млинівської</w:t>
      </w:r>
      <w:proofErr w:type="spellEnd"/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>ої ради</w:t>
      </w:r>
      <w:r w:rsidR="0013241B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lastRenderedPageBreak/>
        <w:t xml:space="preserve">розроблену </w:t>
      </w:r>
      <w:r w:rsidR="0013241B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B43C2A">
        <w:rPr>
          <w:sz w:val="28"/>
          <w:szCs w:val="28"/>
          <w:lang w:val="uk-UA"/>
        </w:rPr>
        <w:t>.</w:t>
      </w:r>
    </w:p>
    <w:p w:rsidR="00B43C2A" w:rsidRPr="0013241B" w:rsidRDefault="00B43C2A" w:rsidP="00B43C2A">
      <w:pPr>
        <w:pStyle w:val="aa"/>
        <w:shd w:val="clear" w:color="auto" w:fill="FFFFFF"/>
        <w:ind w:left="567"/>
        <w:jc w:val="both"/>
        <w:rPr>
          <w:sz w:val="28"/>
          <w:szCs w:val="28"/>
          <w:lang w:val="uk-UA"/>
        </w:rPr>
      </w:pPr>
    </w:p>
    <w:p w:rsidR="00C244CC" w:rsidRDefault="00956278" w:rsidP="001E2A06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9F61C7">
        <w:rPr>
          <w:sz w:val="28"/>
          <w:szCs w:val="28"/>
          <w:lang w:val="uk-UA"/>
        </w:rPr>
        <w:t>управління інфраструктури</w:t>
      </w:r>
      <w:r w:rsidR="0025221E">
        <w:rPr>
          <w:sz w:val="28"/>
          <w:szCs w:val="28"/>
          <w:lang w:val="uk-UA"/>
        </w:rPr>
        <w:t xml:space="preserve"> </w:t>
      </w:r>
      <w:proofErr w:type="spellStart"/>
      <w:r w:rsidR="0025221E">
        <w:rPr>
          <w:sz w:val="28"/>
          <w:szCs w:val="28"/>
          <w:lang w:val="uk-UA"/>
        </w:rPr>
        <w:t>Млинівської</w:t>
      </w:r>
      <w:proofErr w:type="spellEnd"/>
      <w:r w:rsidR="00DE37B5" w:rsidRPr="00DE37B5">
        <w:rPr>
          <w:sz w:val="28"/>
          <w:szCs w:val="28"/>
          <w:lang w:val="uk-UA"/>
        </w:rPr>
        <w:t xml:space="preserve"> селищної ради</w:t>
      </w:r>
      <w:r w:rsidR="00C244CC">
        <w:rPr>
          <w:sz w:val="28"/>
          <w:szCs w:val="28"/>
          <w:lang w:val="uk-UA"/>
        </w:rPr>
        <w:t>: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</w:t>
      </w:r>
      <w:r w:rsidR="00D50F1B">
        <w:rPr>
          <w:sz w:val="28"/>
          <w:szCs w:val="28"/>
          <w:lang w:val="uk-UA"/>
        </w:rPr>
        <w:t>забезпечити</w:t>
      </w:r>
      <w:proofErr w:type="spellEnd"/>
      <w:r w:rsidR="00D50F1B">
        <w:rPr>
          <w:sz w:val="28"/>
          <w:szCs w:val="28"/>
          <w:lang w:val="uk-UA"/>
        </w:rPr>
        <w:t xml:space="preserve">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682FF8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bookmarkStart w:id="0" w:name="_GoBack"/>
      <w:bookmarkEnd w:id="0"/>
      <w:r w:rsidR="00682FF8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9E1B7A">
        <w:rPr>
          <w:sz w:val="28"/>
          <w:szCs w:val="28"/>
          <w:lang w:val="uk-UA"/>
        </w:rPr>
        <w:t>Перемил</w:t>
      </w:r>
      <w:r w:rsidR="00BD763C">
        <w:rPr>
          <w:sz w:val="28"/>
          <w:szCs w:val="28"/>
          <w:lang w:val="uk-UA"/>
        </w:rPr>
        <w:t>івського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 w:rsidR="00D50F1B">
        <w:rPr>
          <w:sz w:val="28"/>
          <w:szCs w:val="28"/>
          <w:lang w:val="uk-UA"/>
        </w:rPr>
        <w:t>старостинського</w:t>
      </w:r>
      <w:proofErr w:type="spellEnd"/>
      <w:r w:rsidR="00D50F1B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 w:rsidR="00D50F1B">
        <w:rPr>
          <w:sz w:val="28"/>
          <w:szCs w:val="28"/>
          <w:lang w:val="uk-UA"/>
        </w:rPr>
        <w:t>Млинівської</w:t>
      </w:r>
      <w:proofErr w:type="spellEnd"/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додатку.</w:t>
      </w: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E37B5" w:rsidRPr="00C244CC">
        <w:rPr>
          <w:sz w:val="28"/>
          <w:szCs w:val="28"/>
          <w:lang w:val="uk-UA"/>
        </w:rPr>
        <w:t xml:space="preserve"> 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proofErr w:type="spellStart"/>
      <w:r w:rsidR="0025221E" w:rsidRPr="00C244CC">
        <w:rPr>
          <w:sz w:val="28"/>
          <w:szCs w:val="28"/>
          <w:lang w:val="uk-UA"/>
        </w:rPr>
        <w:t>Млинівською</w:t>
      </w:r>
      <w:proofErr w:type="spellEnd"/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DE37B5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9F61C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E37B5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Додаток 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    до рішення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    </w:t>
      </w:r>
      <w:proofErr w:type="spellStart"/>
      <w:r>
        <w:rPr>
          <w:rStyle w:val="FontStyle11"/>
          <w:sz w:val="28"/>
          <w:szCs w:val="28"/>
          <w:lang w:val="uk-UA" w:eastAsia="uk-UA"/>
        </w:rPr>
        <w:t>Млинівської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селищної ради  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від _________ 20___ № _____</w:t>
      </w:r>
    </w:p>
    <w:p w:rsidR="0040603B" w:rsidRDefault="0040603B" w:rsidP="0040603B">
      <w:pPr>
        <w:jc w:val="both"/>
      </w:pPr>
    </w:p>
    <w:p w:rsidR="0040603B" w:rsidRDefault="0040603B" w:rsidP="0040603B">
      <w:pPr>
        <w:jc w:val="both"/>
      </w:pPr>
    </w:p>
    <w:tbl>
      <w:tblPr>
        <w:tblStyle w:val="ac"/>
        <w:tblW w:w="0" w:type="auto"/>
        <w:tblLook w:val="04A0"/>
      </w:tblPr>
      <w:tblGrid>
        <w:gridCol w:w="665"/>
        <w:gridCol w:w="3797"/>
        <w:gridCol w:w="1512"/>
        <w:gridCol w:w="1377"/>
        <w:gridCol w:w="1105"/>
        <w:gridCol w:w="1115"/>
      </w:tblGrid>
      <w:tr w:rsidR="0023611E" w:rsidTr="00F43351">
        <w:trPr>
          <w:trHeight w:val="1234"/>
        </w:trPr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 w:rsidRPr="00471831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по батькові землекористувача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 w:rsidRPr="0075572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Площа, га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Угіддя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Масив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ділянка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Буток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</w:t>
            </w:r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Дмитрович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2,6330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0,4727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172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Вознюк Іван Павлович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2,0680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0,6000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Височанська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Ганна Вікентіївна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2,8792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0,2096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223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Козакова Устина Кузьмівна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2,1857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0,3005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Кондратюк Андрій Йосипович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1,5891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15-16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0,3806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239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Бурячок Галина </w:t>
            </w:r>
            <w:proofErr w:type="spellStart"/>
            <w:r>
              <w:rPr>
                <w:sz w:val="28"/>
                <w:szCs w:val="28"/>
                <w:lang w:val="uk-UA"/>
              </w:rPr>
              <w:t>Нестерівна</w:t>
            </w:r>
            <w:proofErr w:type="spellEnd"/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1,8638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15-16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0,3309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Ковалевич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Данилівна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1,4115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15-16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0,4179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Рудик Антон </w:t>
            </w:r>
            <w:proofErr w:type="spellStart"/>
            <w:r>
              <w:rPr>
                <w:sz w:val="28"/>
                <w:szCs w:val="28"/>
                <w:lang w:val="uk-UA"/>
              </w:rPr>
              <w:t>Себастянович</w:t>
            </w:r>
            <w:proofErr w:type="spellEnd"/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1,5350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15-16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0,2175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Павлів Федір Васильович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2,6007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0,3427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263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Ярошевич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Юзефа Кирилівна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1,9233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15-16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0,5937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Рудик Лідія Данилівна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1,6189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0,4221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Лисак Степан Антонович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1,9589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0,3352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Дячук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Володимир Петрович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1,5159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0,2924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сіножаті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797" w:type="dxa"/>
          </w:tcPr>
          <w:p w:rsidR="0023611E" w:rsidRDefault="0023611E" w:rsidP="00F4335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Колосовський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Сергій </w:t>
            </w:r>
            <w:proofErr w:type="spellStart"/>
            <w:r>
              <w:rPr>
                <w:sz w:val="28"/>
                <w:szCs w:val="28"/>
                <w:lang w:val="uk-UA"/>
              </w:rPr>
              <w:t>Григоров</w:t>
            </w:r>
            <w:proofErr w:type="spellEnd"/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1,3636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0,2985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Лук</w:t>
            </w:r>
            <w:r>
              <w:rPr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sz w:val="28"/>
                <w:szCs w:val="28"/>
                <w:lang w:val="uk-UA"/>
              </w:rPr>
              <w:t>янчук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Віра Яківна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1,7328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38-40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0,2568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Лебедюк Надія Василівна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2,6415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0,2290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Семенюк </w:t>
            </w:r>
            <w:proofErr w:type="spellStart"/>
            <w:r>
              <w:rPr>
                <w:sz w:val="28"/>
                <w:szCs w:val="28"/>
                <w:lang w:val="uk-UA"/>
              </w:rPr>
              <w:t>Панасія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Кузьмівна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1,8550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0,2268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Кондратюк Віра Панасівна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1,4434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0,3794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240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Сімак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Надія Миколаївна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1,4415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0,2836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Тимчук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Михайло Микитович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1,4364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0,3555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Мельничук Ольга Миколаївна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1,9578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0,1741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пасовище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225A16" w:rsidRDefault="00225A16" w:rsidP="003E7D14">
      <w:pPr>
        <w:jc w:val="both"/>
        <w:rPr>
          <w:sz w:val="28"/>
          <w:szCs w:val="28"/>
          <w:lang w:val="uk-UA"/>
        </w:rPr>
      </w:pPr>
    </w:p>
    <w:p w:rsidR="0040603B" w:rsidRPr="00225A16" w:rsidRDefault="00225A16" w:rsidP="003E7D14">
      <w:pPr>
        <w:jc w:val="both"/>
        <w:rPr>
          <w:sz w:val="28"/>
          <w:szCs w:val="28"/>
          <w:lang w:val="uk-UA"/>
        </w:rPr>
      </w:pPr>
      <w:r w:rsidRPr="00225A16">
        <w:rPr>
          <w:sz w:val="28"/>
          <w:szCs w:val="28"/>
          <w:lang w:val="uk-UA"/>
        </w:rPr>
        <w:t xml:space="preserve">Секретар селищної ради </w:t>
      </w:r>
      <w:r>
        <w:rPr>
          <w:sz w:val="28"/>
          <w:szCs w:val="28"/>
          <w:lang w:val="uk-UA"/>
        </w:rPr>
        <w:t xml:space="preserve">                                         Олександр МІЩАНЮК</w:t>
      </w:r>
    </w:p>
    <w:sectPr w:rsidR="0040603B" w:rsidRPr="00225A16" w:rsidSect="009562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16E" w:rsidRDefault="0035716E">
      <w:r>
        <w:separator/>
      </w:r>
    </w:p>
  </w:endnote>
  <w:endnote w:type="continuationSeparator" w:id="1">
    <w:p w:rsidR="0035716E" w:rsidRDefault="003571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16E" w:rsidRDefault="0035716E">
      <w:r>
        <w:separator/>
      </w:r>
    </w:p>
  </w:footnote>
  <w:footnote w:type="continuationSeparator" w:id="1">
    <w:p w:rsidR="0035716E" w:rsidRDefault="003571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6D6124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/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374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16E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57A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C49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24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C7FD8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1C7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4E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5F4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4F832-3667-4515-AC50-088FC1839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545</Words>
  <Characters>3904</Characters>
  <Application>Microsoft Office Word</Application>
  <DocSecurity>0</DocSecurity>
  <Lines>32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user</cp:lastModifiedBy>
  <cp:revision>7</cp:revision>
  <cp:lastPrinted>2020-12-23T06:26:00Z</cp:lastPrinted>
  <dcterms:created xsi:type="dcterms:W3CDTF">2020-12-13T12:36:00Z</dcterms:created>
  <dcterms:modified xsi:type="dcterms:W3CDTF">2020-12-29T14:55:00Z</dcterms:modified>
</cp:coreProperties>
</file>